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C" w14:textId="77777777" w:rsidR="00F42907" w:rsidRDefault="00F42907" w:rsidP="008B766D">
      <w:pPr>
        <w:ind w:right="-426"/>
        <w:rPr>
          <w:b/>
          <w:bCs/>
          <w:sz w:val="26"/>
          <w:rtl/>
        </w:rPr>
      </w:pPr>
      <w:bookmarkStart w:id="0" w:name="_GoBack"/>
      <w:bookmarkEnd w:id="0"/>
    </w:p>
    <w:p w14:paraId="11CDE76D" w14:textId="77777777" w:rsidR="006500F2" w:rsidRDefault="006500F2" w:rsidP="008B766D">
      <w:pPr>
        <w:ind w:right="-426"/>
        <w:rPr>
          <w:b/>
          <w:bCs/>
          <w:sz w:val="26"/>
          <w:rtl/>
        </w:rPr>
      </w:pPr>
    </w:p>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8"/>
          <w:b/>
          <w:bCs/>
          <w:color w:val="auto"/>
          <w:sz w:val="26"/>
          <w:rtl/>
        </w:rPr>
      </w:pPr>
      <w:bookmarkStart w:id="1" w:name="Date"/>
      <w:bookmarkEnd w:id="1"/>
      <w:r>
        <w:rPr>
          <w:rStyle w:val="a8"/>
          <w:rFonts w:hint="cs"/>
          <w:b/>
          <w:bCs/>
          <w:color w:val="auto"/>
          <w:sz w:val="26"/>
          <w:rtl/>
        </w:rPr>
        <w:t>יחידת חוזים והתקשרויות</w:t>
      </w:r>
    </w:p>
    <w:bookmarkStart w:id="2" w:name="DocNum"/>
    <w:bookmarkEnd w:id="2"/>
    <w:p w14:paraId="11CDE771" w14:textId="0BE3AEC4" w:rsidR="009C1E95" w:rsidRPr="00223E43" w:rsidRDefault="00A939EA"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A147EA">
            <w:rPr>
              <w:rStyle w:val="a8"/>
              <w:rFonts w:hint="cs"/>
              <w:color w:val="auto"/>
              <w:sz w:val="26"/>
              <w:rtl/>
            </w:rPr>
            <w:t>כ"ג בתשרי התשע"ט</w:t>
          </w:r>
        </w:sdtContent>
      </w:sdt>
    </w:p>
    <w:p w14:paraId="11CDE773" w14:textId="3D6E60FC" w:rsidR="00533FCA" w:rsidRPr="00A147EA" w:rsidRDefault="00533FCA" w:rsidP="00A147EA">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A147EA">
            <w:rPr>
              <w:rFonts w:hint="cs"/>
              <w:b w:val="0"/>
              <w:bCs w:val="0"/>
              <w:sz w:val="26"/>
              <w:rtl/>
            </w:rPr>
            <w:t>02 באוקטובר 2018</w:t>
          </w:r>
        </w:sdtContent>
      </w:sdt>
    </w:p>
    <w:p w14:paraId="11CDE774" w14:textId="2ABC9CCD"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A147EA">
            <w:rPr>
              <w:rStyle w:val="a8"/>
              <w:rFonts w:hint="cs"/>
              <w:color w:val="auto"/>
              <w:sz w:val="26"/>
              <w:rtl/>
            </w:rPr>
            <w:t>חת_303_2018</w:t>
          </w:r>
        </w:sdtContent>
      </w:sdt>
    </w:p>
    <w:p w14:paraId="11CDE775" w14:textId="77777777" w:rsidR="00C80CDB" w:rsidRPr="00A147EA" w:rsidRDefault="00C80CDB" w:rsidP="00A147EA">
      <w:pPr>
        <w:pStyle w:val="2"/>
        <w:ind w:left="453" w:hanging="426"/>
        <w:jc w:val="center"/>
        <w:rPr>
          <w:u w:val="single"/>
          <w:rtl/>
        </w:rPr>
      </w:pPr>
    </w:p>
    <w:p w14:paraId="61D93304" w14:textId="77777777" w:rsidR="000D7A04" w:rsidRPr="00EC1671" w:rsidRDefault="000D7A04" w:rsidP="000D7A04">
      <w:pPr>
        <w:pStyle w:val="2"/>
        <w:ind w:left="453" w:hanging="426"/>
        <w:jc w:val="center"/>
        <w:rPr>
          <w:sz w:val="30"/>
          <w:szCs w:val="30"/>
          <w:u w:val="single"/>
          <w:rtl/>
        </w:rPr>
      </w:pPr>
      <w:r w:rsidRPr="00EC1671">
        <w:rPr>
          <w:sz w:val="30"/>
          <w:szCs w:val="30"/>
          <w:u w:val="single"/>
          <w:rtl/>
        </w:rPr>
        <w:t>תשובות והבהרות לשאלות ובקשות שהתקבלו במסגרת מכרז 95/2018</w:t>
      </w:r>
    </w:p>
    <w:p w14:paraId="64871317" w14:textId="77777777" w:rsidR="000D7A04" w:rsidRPr="00EC1671" w:rsidRDefault="000D7A04" w:rsidP="000D7A04">
      <w:pPr>
        <w:pStyle w:val="2"/>
        <w:ind w:left="453" w:hanging="426"/>
        <w:jc w:val="center"/>
        <w:rPr>
          <w:sz w:val="30"/>
          <w:szCs w:val="30"/>
          <w:u w:val="single"/>
        </w:rPr>
      </w:pPr>
      <w:r w:rsidRPr="00EC1671">
        <w:rPr>
          <w:sz w:val="30"/>
          <w:szCs w:val="30"/>
          <w:u w:val="single"/>
          <w:rtl/>
        </w:rPr>
        <w:t>להגשת בקשות לקבלת מענק לחיבור צרכנים מרוחקים לרשת הגז הטבעי</w:t>
      </w:r>
    </w:p>
    <w:p w14:paraId="2CF4561D" w14:textId="77777777" w:rsidR="000D7A04" w:rsidRPr="00A147EA" w:rsidRDefault="000D7A04" w:rsidP="000D7A04">
      <w:pPr>
        <w:rPr>
          <w:rtl/>
        </w:rPr>
      </w:pPr>
    </w:p>
    <w:p w14:paraId="34985A92" w14:textId="77777777" w:rsidR="000D7A04" w:rsidRDefault="000D7A04" w:rsidP="000D7A04">
      <w:pPr>
        <w:pStyle w:val="ac"/>
        <w:jc w:val="both"/>
        <w:rPr>
          <w:rFonts w:ascii="David" w:hAnsi="David" w:cs="David"/>
          <w:b w:val="0"/>
          <w:bCs w:val="0"/>
          <w:sz w:val="24"/>
          <w:szCs w:val="24"/>
          <w:rtl/>
        </w:rPr>
      </w:pPr>
    </w:p>
    <w:p w14:paraId="53D76A2E" w14:textId="77777777" w:rsidR="000D7A04" w:rsidRDefault="000D7A04" w:rsidP="000D7A04">
      <w:pPr>
        <w:pStyle w:val="ac"/>
        <w:jc w:val="both"/>
        <w:rPr>
          <w:rFonts w:ascii="David" w:hAnsi="David" w:cs="David"/>
          <w:b w:val="0"/>
          <w:bCs w:val="0"/>
          <w:sz w:val="24"/>
          <w:szCs w:val="24"/>
          <w:rtl/>
        </w:rPr>
      </w:pPr>
      <w:r w:rsidRPr="008F53D3">
        <w:rPr>
          <w:rFonts w:ascii="David" w:hAnsi="David" w:cs="David" w:hint="eastAsia"/>
          <w:b w:val="0"/>
          <w:bCs w:val="0"/>
          <w:sz w:val="24"/>
          <w:szCs w:val="24"/>
          <w:rtl/>
        </w:rPr>
        <w:t>להלן</w:t>
      </w:r>
      <w:r w:rsidRPr="001757A2">
        <w:rPr>
          <w:rFonts w:ascii="David" w:hAnsi="David" w:cs="David"/>
          <w:b w:val="0"/>
          <w:bCs w:val="0"/>
          <w:sz w:val="24"/>
          <w:szCs w:val="24"/>
          <w:rtl/>
        </w:rPr>
        <w:t xml:space="preserve"> </w:t>
      </w:r>
      <w:r w:rsidRPr="001757A2">
        <w:rPr>
          <w:rFonts w:ascii="David" w:hAnsi="David" w:cs="David" w:hint="eastAsia"/>
          <w:b w:val="0"/>
          <w:bCs w:val="0"/>
          <w:sz w:val="24"/>
          <w:szCs w:val="24"/>
          <w:rtl/>
        </w:rPr>
        <w:t>מענה</w:t>
      </w:r>
      <w:r w:rsidRPr="001757A2">
        <w:rPr>
          <w:rFonts w:ascii="David" w:hAnsi="David" w:cs="David"/>
          <w:b w:val="0"/>
          <w:bCs w:val="0"/>
          <w:sz w:val="24"/>
          <w:szCs w:val="24"/>
          <w:rtl/>
        </w:rPr>
        <w:t xml:space="preserve"> לשאלות וההבהרות שהתקבלו במסגרת </w:t>
      </w:r>
      <w:r w:rsidRPr="001757A2">
        <w:rPr>
          <w:rFonts w:ascii="David" w:hAnsi="David" w:cs="David" w:hint="cs"/>
          <w:b w:val="0"/>
          <w:bCs w:val="0"/>
          <w:sz w:val="24"/>
          <w:szCs w:val="24"/>
          <w:rtl/>
        </w:rPr>
        <w:t>מכרז מ</w:t>
      </w:r>
      <w:r w:rsidRPr="001757A2">
        <w:rPr>
          <w:rFonts w:ascii="David" w:hAnsi="David" w:cs="David"/>
          <w:b w:val="0"/>
          <w:bCs w:val="0"/>
          <w:sz w:val="24"/>
          <w:szCs w:val="24"/>
          <w:rtl/>
        </w:rPr>
        <w:t xml:space="preserve">ס' </w:t>
      </w:r>
      <w:r w:rsidRPr="001757A2">
        <w:rPr>
          <w:rFonts w:ascii="David" w:hAnsi="David" w:cs="David" w:hint="cs"/>
          <w:b w:val="0"/>
          <w:bCs w:val="0"/>
          <w:sz w:val="24"/>
          <w:szCs w:val="24"/>
          <w:rtl/>
        </w:rPr>
        <w:t>95</w:t>
      </w:r>
      <w:r w:rsidRPr="001757A2">
        <w:rPr>
          <w:rFonts w:ascii="David" w:hAnsi="David" w:cs="David"/>
          <w:b w:val="0"/>
          <w:bCs w:val="0"/>
          <w:sz w:val="24"/>
          <w:szCs w:val="24"/>
          <w:rtl/>
        </w:rPr>
        <w:t>/2018 להגשת בקשות לקבלת מענק לחיבור צרכנים מרוחקים לרשת הגז הטבעי</w:t>
      </w:r>
      <w:r w:rsidRPr="001757A2">
        <w:rPr>
          <w:rFonts w:ascii="David" w:hAnsi="David" w:cs="David" w:hint="cs"/>
          <w:b w:val="0"/>
          <w:bCs w:val="0"/>
          <w:sz w:val="24"/>
          <w:szCs w:val="24"/>
          <w:rtl/>
        </w:rPr>
        <w:t xml:space="preserve"> (</w:t>
      </w:r>
      <w:r w:rsidRPr="001757A2">
        <w:rPr>
          <w:rFonts w:ascii="David" w:hAnsi="David" w:cs="David" w:hint="eastAsia"/>
          <w:sz w:val="24"/>
          <w:szCs w:val="24"/>
          <w:rtl/>
        </w:rPr>
        <w:t>להלן</w:t>
      </w:r>
      <w:r w:rsidRPr="001757A2">
        <w:rPr>
          <w:rFonts w:ascii="David" w:hAnsi="David" w:cs="David"/>
          <w:sz w:val="24"/>
          <w:szCs w:val="24"/>
          <w:rtl/>
        </w:rPr>
        <w:t xml:space="preserve"> – </w:t>
      </w:r>
      <w:r w:rsidRPr="001757A2">
        <w:rPr>
          <w:rFonts w:ascii="David" w:hAnsi="David" w:cs="David" w:hint="cs"/>
          <w:sz w:val="24"/>
          <w:szCs w:val="24"/>
          <w:rtl/>
        </w:rPr>
        <w:t>המכרז</w:t>
      </w:r>
      <w:r w:rsidRPr="001757A2">
        <w:rPr>
          <w:rFonts w:ascii="David" w:hAnsi="David" w:cs="David" w:hint="cs"/>
          <w:b w:val="0"/>
          <w:bCs w:val="0"/>
          <w:sz w:val="24"/>
          <w:szCs w:val="24"/>
          <w:rtl/>
        </w:rPr>
        <w:t xml:space="preserve">). </w:t>
      </w:r>
      <w:r w:rsidRPr="001757A2">
        <w:rPr>
          <w:rFonts w:ascii="David" w:hAnsi="David" w:cs="David" w:hint="eastAsia"/>
          <w:b w:val="0"/>
          <w:bCs w:val="0"/>
          <w:sz w:val="24"/>
          <w:szCs w:val="24"/>
          <w:rtl/>
        </w:rPr>
        <w:t>התשובות</w:t>
      </w:r>
      <w:r w:rsidRPr="001757A2">
        <w:rPr>
          <w:rFonts w:ascii="David" w:hAnsi="David" w:cs="David"/>
          <w:b w:val="0"/>
          <w:bCs w:val="0"/>
          <w:sz w:val="24"/>
          <w:szCs w:val="24"/>
          <w:rtl/>
        </w:rPr>
        <w:t xml:space="preserve"> </w:t>
      </w:r>
      <w:r w:rsidRPr="001757A2">
        <w:rPr>
          <w:rFonts w:ascii="David" w:hAnsi="David" w:cs="David" w:hint="eastAsia"/>
          <w:b w:val="0"/>
          <w:bCs w:val="0"/>
          <w:sz w:val="24"/>
          <w:szCs w:val="24"/>
          <w:rtl/>
        </w:rPr>
        <w:t>מהוות</w:t>
      </w:r>
      <w:r w:rsidRPr="001757A2">
        <w:rPr>
          <w:rFonts w:ascii="David" w:hAnsi="David" w:cs="David"/>
          <w:b w:val="0"/>
          <w:bCs w:val="0"/>
          <w:sz w:val="24"/>
          <w:szCs w:val="24"/>
          <w:rtl/>
        </w:rPr>
        <w:t xml:space="preserve"> </w:t>
      </w:r>
      <w:r w:rsidRPr="001757A2">
        <w:rPr>
          <w:rFonts w:ascii="David" w:hAnsi="David" w:cs="David" w:hint="eastAsia"/>
          <w:b w:val="0"/>
          <w:bCs w:val="0"/>
          <w:sz w:val="24"/>
          <w:szCs w:val="24"/>
          <w:rtl/>
        </w:rPr>
        <w:t>חלק</w:t>
      </w:r>
      <w:r w:rsidRPr="001757A2">
        <w:rPr>
          <w:rFonts w:ascii="David" w:hAnsi="David" w:cs="David"/>
          <w:b w:val="0"/>
          <w:bCs w:val="0"/>
          <w:sz w:val="24"/>
          <w:szCs w:val="24"/>
          <w:rtl/>
        </w:rPr>
        <w:t xml:space="preserve"> </w:t>
      </w:r>
      <w:r w:rsidRPr="001757A2">
        <w:rPr>
          <w:rFonts w:ascii="David" w:hAnsi="David" w:cs="David" w:hint="eastAsia"/>
          <w:b w:val="0"/>
          <w:bCs w:val="0"/>
          <w:sz w:val="24"/>
          <w:szCs w:val="24"/>
          <w:rtl/>
        </w:rPr>
        <w:t>בלתי</w:t>
      </w:r>
      <w:r w:rsidRPr="001757A2">
        <w:rPr>
          <w:rFonts w:ascii="David" w:hAnsi="David" w:cs="David"/>
          <w:b w:val="0"/>
          <w:bCs w:val="0"/>
          <w:sz w:val="24"/>
          <w:szCs w:val="24"/>
          <w:rtl/>
        </w:rPr>
        <w:t xml:space="preserve"> </w:t>
      </w:r>
      <w:r w:rsidRPr="001757A2">
        <w:rPr>
          <w:rFonts w:ascii="David" w:hAnsi="David" w:cs="David" w:hint="eastAsia"/>
          <w:b w:val="0"/>
          <w:bCs w:val="0"/>
          <w:sz w:val="24"/>
          <w:szCs w:val="24"/>
          <w:rtl/>
        </w:rPr>
        <w:t>נפרד</w:t>
      </w:r>
      <w:r w:rsidRPr="001757A2">
        <w:rPr>
          <w:rFonts w:ascii="David" w:hAnsi="David" w:cs="David"/>
          <w:b w:val="0"/>
          <w:bCs w:val="0"/>
          <w:sz w:val="24"/>
          <w:szCs w:val="24"/>
          <w:rtl/>
        </w:rPr>
        <w:t xml:space="preserve"> </w:t>
      </w:r>
      <w:r w:rsidRPr="001757A2">
        <w:rPr>
          <w:rFonts w:ascii="David" w:hAnsi="David" w:cs="David" w:hint="eastAsia"/>
          <w:b w:val="0"/>
          <w:bCs w:val="0"/>
          <w:sz w:val="24"/>
          <w:szCs w:val="24"/>
          <w:rtl/>
        </w:rPr>
        <w:t>ממסמכי</w:t>
      </w:r>
      <w:r w:rsidRPr="001757A2">
        <w:rPr>
          <w:rFonts w:ascii="David" w:hAnsi="David" w:cs="David"/>
          <w:b w:val="0"/>
          <w:bCs w:val="0"/>
          <w:sz w:val="24"/>
          <w:szCs w:val="24"/>
          <w:rtl/>
        </w:rPr>
        <w:t xml:space="preserve"> </w:t>
      </w:r>
      <w:r w:rsidRPr="001757A2">
        <w:rPr>
          <w:rFonts w:ascii="David" w:hAnsi="David" w:cs="David" w:hint="eastAsia"/>
          <w:b w:val="0"/>
          <w:bCs w:val="0"/>
          <w:sz w:val="24"/>
          <w:szCs w:val="24"/>
          <w:rtl/>
        </w:rPr>
        <w:t>המכרז</w:t>
      </w:r>
      <w:r w:rsidRPr="001757A2">
        <w:rPr>
          <w:rFonts w:ascii="David" w:hAnsi="David" w:cs="David"/>
          <w:b w:val="0"/>
          <w:bCs w:val="0"/>
          <w:sz w:val="24"/>
          <w:szCs w:val="24"/>
          <w:rtl/>
        </w:rPr>
        <w:t>.</w:t>
      </w:r>
      <w:r w:rsidRPr="00FC3008">
        <w:rPr>
          <w:rFonts w:ascii="David" w:hAnsi="David" w:cs="David"/>
          <w:b w:val="0"/>
          <w:bCs w:val="0"/>
          <w:sz w:val="24"/>
          <w:szCs w:val="24"/>
          <w:rtl/>
        </w:rPr>
        <w:t xml:space="preserve"> </w:t>
      </w:r>
    </w:p>
    <w:p w14:paraId="0A114A12" w14:textId="77777777" w:rsidR="000D7A04" w:rsidRDefault="000D7A04" w:rsidP="000D7A04">
      <w:pPr>
        <w:pStyle w:val="ac"/>
        <w:jc w:val="both"/>
        <w:rPr>
          <w:rFonts w:ascii="David" w:hAnsi="David" w:cs="David"/>
          <w:b w:val="0"/>
          <w:bCs w:val="0"/>
          <w:sz w:val="24"/>
          <w:szCs w:val="24"/>
          <w:rtl/>
        </w:rPr>
      </w:pPr>
    </w:p>
    <w:p w14:paraId="54534278" w14:textId="77777777" w:rsidR="000D7A04" w:rsidRDefault="000D7A04" w:rsidP="000D7A04">
      <w:pPr>
        <w:pStyle w:val="ac"/>
        <w:jc w:val="both"/>
        <w:rPr>
          <w:rFonts w:ascii="David" w:hAnsi="David" w:cs="David"/>
          <w:b w:val="0"/>
          <w:bCs w:val="0"/>
          <w:sz w:val="24"/>
          <w:szCs w:val="24"/>
          <w:rtl/>
        </w:rPr>
      </w:pPr>
      <w:r>
        <w:rPr>
          <w:rFonts w:ascii="David" w:hAnsi="David" w:cs="David" w:hint="cs"/>
          <w:b w:val="0"/>
          <w:bCs w:val="0"/>
          <w:sz w:val="24"/>
          <w:szCs w:val="24"/>
          <w:rtl/>
        </w:rPr>
        <w:t>מצורף נוסח מתוקן של מסמכי המכרז.</w:t>
      </w:r>
    </w:p>
    <w:p w14:paraId="1929DCB3" w14:textId="77777777" w:rsidR="000D7A04" w:rsidRDefault="000D7A04" w:rsidP="000D7A04">
      <w:pPr>
        <w:pStyle w:val="ac"/>
        <w:jc w:val="both"/>
        <w:rPr>
          <w:rFonts w:ascii="David" w:hAnsi="David" w:cs="David"/>
          <w:b w:val="0"/>
          <w:bCs w:val="0"/>
          <w:sz w:val="24"/>
          <w:szCs w:val="24"/>
          <w:rtl/>
        </w:rPr>
      </w:pPr>
    </w:p>
    <w:p w14:paraId="7604701A" w14:textId="77777777" w:rsidR="000D7A04" w:rsidRDefault="000D7A04" w:rsidP="000D7A04">
      <w:pPr>
        <w:pStyle w:val="ac"/>
        <w:jc w:val="both"/>
        <w:rPr>
          <w:rFonts w:ascii="David" w:hAnsi="David" w:cs="David"/>
          <w:b w:val="0"/>
          <w:bCs w:val="0"/>
          <w:sz w:val="24"/>
          <w:szCs w:val="24"/>
          <w:rtl/>
        </w:rPr>
      </w:pPr>
      <w:r>
        <w:rPr>
          <w:rFonts w:ascii="David" w:hAnsi="David" w:cs="David" w:hint="cs"/>
          <w:b w:val="0"/>
          <w:bCs w:val="0"/>
          <w:sz w:val="24"/>
          <w:szCs w:val="24"/>
          <w:rtl/>
        </w:rPr>
        <w:t>יודגש כי נעשו שינויים ועדכונים נוספים במסמכי המכרז גם אם הם לא נובעים מהשאלות או מהתשובות המפורטות. לתשומת ליבכם במסגרת השינויים האמורים גם הוחלט לדחות ליום ה-18.11.2018 בשעה 14:00 את המועד האחרון להגשת בקשות לקבלת מענק לפי המכרז.</w:t>
      </w:r>
    </w:p>
    <w:p w14:paraId="234D94AD" w14:textId="77777777" w:rsidR="000D7A04" w:rsidRDefault="000D7A04" w:rsidP="000D7A04">
      <w:pPr>
        <w:pStyle w:val="ac"/>
        <w:jc w:val="both"/>
        <w:rPr>
          <w:rFonts w:ascii="David" w:hAnsi="David" w:cs="David"/>
          <w:sz w:val="24"/>
          <w:szCs w:val="24"/>
          <w:u w:val="single"/>
          <w:rtl/>
        </w:rPr>
      </w:pPr>
    </w:p>
    <w:p w14:paraId="724D74CE" w14:textId="77777777" w:rsidR="000D7A04" w:rsidRDefault="000D7A04" w:rsidP="000D7A04">
      <w:pPr>
        <w:pStyle w:val="ac"/>
        <w:jc w:val="both"/>
        <w:rPr>
          <w:rFonts w:ascii="David" w:hAnsi="David" w:cs="David"/>
          <w:sz w:val="24"/>
          <w:szCs w:val="24"/>
          <w:u w:val="single"/>
          <w:rtl/>
        </w:rPr>
      </w:pPr>
      <w:r>
        <w:rPr>
          <w:rFonts w:ascii="David" w:hAnsi="David" w:cs="David" w:hint="cs"/>
          <w:sz w:val="24"/>
          <w:szCs w:val="24"/>
          <w:u w:val="single"/>
          <w:rtl/>
        </w:rPr>
        <w:t xml:space="preserve">הנוסח המתוקן של מסמכי המכרז הוא המחייב. באחריות המציעים להגיש את הצעותיהם בהתאם לנוסח המתוקן, ולפעול על פיו. ככל שיש סתירה בין מסמך זה להוראות המכרז המתוקן </w:t>
      </w:r>
      <w:r>
        <w:rPr>
          <w:rFonts w:ascii="David" w:hAnsi="David" w:cs="David"/>
          <w:sz w:val="24"/>
          <w:szCs w:val="24"/>
          <w:u w:val="single"/>
          <w:rtl/>
        </w:rPr>
        <w:t>–</w:t>
      </w:r>
      <w:r>
        <w:rPr>
          <w:rFonts w:ascii="David" w:hAnsi="David" w:cs="David" w:hint="cs"/>
          <w:sz w:val="24"/>
          <w:szCs w:val="24"/>
          <w:u w:val="single"/>
          <w:rtl/>
        </w:rPr>
        <w:t xml:space="preserve"> יגברו הוראות המכרז המתוקן.</w:t>
      </w:r>
    </w:p>
    <w:p w14:paraId="2086F960" w14:textId="77777777" w:rsidR="000D7A04" w:rsidRDefault="000D7A04" w:rsidP="000D7A04">
      <w:pPr>
        <w:pStyle w:val="ac"/>
        <w:jc w:val="both"/>
        <w:rPr>
          <w:rFonts w:ascii="David" w:hAnsi="David" w:cs="David"/>
          <w:b w:val="0"/>
          <w:bCs w:val="0"/>
          <w:sz w:val="24"/>
          <w:szCs w:val="24"/>
          <w:rtl/>
        </w:rPr>
      </w:pPr>
    </w:p>
    <w:p w14:paraId="75199922" w14:textId="77777777" w:rsidR="000D7A04" w:rsidRDefault="000D7A04" w:rsidP="000D7A04">
      <w:pPr>
        <w:pStyle w:val="ac"/>
        <w:jc w:val="both"/>
        <w:rPr>
          <w:rFonts w:ascii="David" w:hAnsi="David" w:cs="David"/>
          <w:b w:val="0"/>
          <w:bCs w:val="0"/>
          <w:sz w:val="24"/>
          <w:szCs w:val="24"/>
          <w:rtl/>
        </w:rPr>
      </w:pPr>
    </w:p>
    <w:p w14:paraId="7214B592" w14:textId="77777777" w:rsidR="000D7A04" w:rsidRDefault="000D7A04" w:rsidP="000D7A04">
      <w:pPr>
        <w:pStyle w:val="ac"/>
        <w:jc w:val="both"/>
        <w:rPr>
          <w:rFonts w:ascii="David" w:hAnsi="David" w:cs="David"/>
          <w:b w:val="0"/>
          <w:bCs w:val="0"/>
          <w:sz w:val="24"/>
          <w:szCs w:val="24"/>
          <w:rtl/>
        </w:rPr>
      </w:pPr>
    </w:p>
    <w:p w14:paraId="1F868492" w14:textId="77777777" w:rsidR="000D7A04" w:rsidRDefault="000D7A04" w:rsidP="000D7A04">
      <w:pPr>
        <w:pStyle w:val="ac"/>
        <w:jc w:val="both"/>
        <w:rPr>
          <w:rFonts w:ascii="David" w:hAnsi="David" w:cs="David"/>
          <w:b w:val="0"/>
          <w:bCs w:val="0"/>
          <w:sz w:val="24"/>
          <w:szCs w:val="24"/>
          <w:rtl/>
        </w:rPr>
      </w:pPr>
    </w:p>
    <w:tbl>
      <w:tblPr>
        <w:tblStyle w:val="10"/>
        <w:bidiVisual/>
        <w:tblW w:w="13337" w:type="dxa"/>
        <w:tblInd w:w="-92" w:type="dxa"/>
        <w:tblLayout w:type="fixed"/>
        <w:tblLook w:val="04A0" w:firstRow="1" w:lastRow="0" w:firstColumn="1" w:lastColumn="0" w:noHBand="0" w:noVBand="1"/>
      </w:tblPr>
      <w:tblGrid>
        <w:gridCol w:w="1152"/>
        <w:gridCol w:w="1116"/>
        <w:gridCol w:w="1030"/>
        <w:gridCol w:w="5361"/>
        <w:gridCol w:w="4678"/>
      </w:tblGrid>
      <w:tr w:rsidR="000D7A04" w:rsidRPr="00566312" w14:paraId="3A4E460B" w14:textId="77777777" w:rsidTr="00EC1671">
        <w:tc>
          <w:tcPr>
            <w:tcW w:w="1152" w:type="dxa"/>
            <w:shd w:val="clear" w:color="auto" w:fill="D9D9D9" w:themeFill="background1" w:themeFillShade="D9"/>
            <w:vAlign w:val="center"/>
          </w:tcPr>
          <w:p w14:paraId="0698A97D" w14:textId="77777777" w:rsidR="000D7A04" w:rsidRPr="00566312" w:rsidRDefault="000D7A04" w:rsidP="00EC1671">
            <w:pPr>
              <w:tabs>
                <w:tab w:val="left" w:pos="8617"/>
              </w:tabs>
              <w:spacing w:line="360" w:lineRule="auto"/>
              <w:jc w:val="center"/>
              <w:rPr>
                <w:rFonts w:ascii="David" w:eastAsia="Calibri" w:hAnsi="David"/>
                <w:b/>
                <w:bCs/>
                <w:szCs w:val="24"/>
                <w:rtl/>
              </w:rPr>
            </w:pPr>
            <w:r w:rsidRPr="00566312">
              <w:rPr>
                <w:rFonts w:ascii="David" w:eastAsia="Calibri" w:hAnsi="David"/>
                <w:b/>
                <w:bCs/>
                <w:szCs w:val="24"/>
                <w:rtl/>
              </w:rPr>
              <w:t>מס'</w:t>
            </w:r>
          </w:p>
        </w:tc>
        <w:tc>
          <w:tcPr>
            <w:tcW w:w="1116" w:type="dxa"/>
            <w:shd w:val="clear" w:color="auto" w:fill="D9D9D9" w:themeFill="background1" w:themeFillShade="D9"/>
            <w:vAlign w:val="center"/>
          </w:tcPr>
          <w:p w14:paraId="29AAC8B9" w14:textId="77777777" w:rsidR="000D7A04" w:rsidRPr="00566312" w:rsidDel="001A33A9" w:rsidRDefault="000D7A04" w:rsidP="00EC1671">
            <w:pPr>
              <w:tabs>
                <w:tab w:val="left" w:pos="8617"/>
              </w:tabs>
              <w:spacing w:line="360" w:lineRule="auto"/>
              <w:jc w:val="center"/>
              <w:rPr>
                <w:rFonts w:ascii="David" w:eastAsia="Calibri" w:hAnsi="David"/>
                <w:b/>
                <w:bCs/>
                <w:szCs w:val="24"/>
                <w:rtl/>
              </w:rPr>
            </w:pPr>
            <w:r w:rsidRPr="00566312">
              <w:rPr>
                <w:rFonts w:ascii="David" w:eastAsia="Calibri" w:hAnsi="David"/>
                <w:b/>
                <w:bCs/>
                <w:szCs w:val="24"/>
                <w:rtl/>
              </w:rPr>
              <w:t>עמ' במסמכי המכרז</w:t>
            </w:r>
          </w:p>
        </w:tc>
        <w:tc>
          <w:tcPr>
            <w:tcW w:w="1030" w:type="dxa"/>
            <w:shd w:val="clear" w:color="auto" w:fill="D9D9D9" w:themeFill="background1" w:themeFillShade="D9"/>
            <w:vAlign w:val="center"/>
          </w:tcPr>
          <w:p w14:paraId="17E33069" w14:textId="77777777" w:rsidR="000D7A04" w:rsidRPr="00566312" w:rsidRDefault="000D7A04" w:rsidP="00EC1671">
            <w:pPr>
              <w:tabs>
                <w:tab w:val="left" w:pos="8617"/>
              </w:tabs>
              <w:spacing w:line="360" w:lineRule="auto"/>
              <w:jc w:val="center"/>
              <w:rPr>
                <w:rFonts w:ascii="David" w:eastAsia="Calibri" w:hAnsi="David"/>
                <w:b/>
                <w:bCs/>
                <w:szCs w:val="24"/>
                <w:rtl/>
              </w:rPr>
            </w:pPr>
            <w:r w:rsidRPr="00566312">
              <w:rPr>
                <w:rFonts w:ascii="David" w:eastAsia="Calibri" w:hAnsi="David"/>
                <w:b/>
                <w:bCs/>
                <w:szCs w:val="24"/>
                <w:rtl/>
              </w:rPr>
              <w:t>מס' סעיף</w:t>
            </w:r>
          </w:p>
        </w:tc>
        <w:tc>
          <w:tcPr>
            <w:tcW w:w="5361" w:type="dxa"/>
            <w:shd w:val="clear" w:color="auto" w:fill="D9D9D9" w:themeFill="background1" w:themeFillShade="D9"/>
            <w:vAlign w:val="center"/>
          </w:tcPr>
          <w:p w14:paraId="01C4DF66" w14:textId="77777777" w:rsidR="000D7A04" w:rsidRPr="00566312" w:rsidRDefault="000D7A04" w:rsidP="00EC1671">
            <w:pPr>
              <w:tabs>
                <w:tab w:val="left" w:pos="8617"/>
              </w:tabs>
              <w:spacing w:line="360" w:lineRule="auto"/>
              <w:jc w:val="center"/>
              <w:rPr>
                <w:rFonts w:ascii="David" w:eastAsia="Calibri" w:hAnsi="David"/>
                <w:b/>
                <w:bCs/>
                <w:szCs w:val="24"/>
                <w:rtl/>
              </w:rPr>
            </w:pPr>
            <w:r w:rsidRPr="00566312">
              <w:rPr>
                <w:rFonts w:ascii="David" w:eastAsia="Calibri" w:hAnsi="David"/>
                <w:b/>
                <w:bCs/>
                <w:szCs w:val="24"/>
                <w:rtl/>
              </w:rPr>
              <w:t>פירוט השאלה / בקשת ההבהרה</w:t>
            </w:r>
          </w:p>
        </w:tc>
        <w:tc>
          <w:tcPr>
            <w:tcW w:w="4678" w:type="dxa"/>
            <w:shd w:val="clear" w:color="auto" w:fill="D9D9D9" w:themeFill="background1" w:themeFillShade="D9"/>
            <w:vAlign w:val="center"/>
          </w:tcPr>
          <w:p w14:paraId="78BB08D2" w14:textId="77777777" w:rsidR="000D7A04" w:rsidRPr="00566312" w:rsidRDefault="000D7A04" w:rsidP="00EC1671">
            <w:pPr>
              <w:tabs>
                <w:tab w:val="left" w:pos="8617"/>
              </w:tabs>
              <w:spacing w:line="360" w:lineRule="auto"/>
              <w:jc w:val="center"/>
              <w:rPr>
                <w:rFonts w:ascii="David" w:eastAsia="Calibri" w:hAnsi="David"/>
                <w:b/>
                <w:bCs/>
                <w:szCs w:val="24"/>
                <w:rtl/>
              </w:rPr>
            </w:pPr>
            <w:r w:rsidRPr="00566312">
              <w:rPr>
                <w:rFonts w:ascii="David" w:eastAsia="Calibri" w:hAnsi="David"/>
                <w:b/>
                <w:bCs/>
                <w:szCs w:val="24"/>
                <w:rtl/>
              </w:rPr>
              <w:t>נוסח לתשובה לפרסום</w:t>
            </w:r>
          </w:p>
        </w:tc>
      </w:tr>
      <w:tr w:rsidR="000D7A04" w:rsidRPr="00566312" w14:paraId="72A38A66" w14:textId="77777777" w:rsidTr="00EC1671">
        <w:tc>
          <w:tcPr>
            <w:tcW w:w="1152" w:type="dxa"/>
          </w:tcPr>
          <w:p w14:paraId="67E1F82C"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1</w:t>
            </w:r>
          </w:p>
        </w:tc>
        <w:tc>
          <w:tcPr>
            <w:tcW w:w="1116" w:type="dxa"/>
          </w:tcPr>
          <w:p w14:paraId="62FAAA91"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1</w:t>
            </w:r>
          </w:p>
          <w:p w14:paraId="456E5CCF"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4</w:t>
            </w:r>
          </w:p>
          <w:p w14:paraId="35EB4CC3"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8</w:t>
            </w:r>
          </w:p>
          <w:p w14:paraId="1EECAD55"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8</w:t>
            </w:r>
          </w:p>
        </w:tc>
        <w:tc>
          <w:tcPr>
            <w:tcW w:w="1030" w:type="dxa"/>
          </w:tcPr>
          <w:p w14:paraId="78C25D35"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1.3.2</w:t>
            </w:r>
          </w:p>
          <w:p w14:paraId="537EB775"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4.2.3</w:t>
            </w:r>
          </w:p>
          <w:p w14:paraId="3F50F16D"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7.2.4</w:t>
            </w:r>
          </w:p>
          <w:p w14:paraId="1F4AA7FC"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7.2.5</w:t>
            </w:r>
          </w:p>
        </w:tc>
        <w:tc>
          <w:tcPr>
            <w:tcW w:w="5361" w:type="dxa"/>
          </w:tcPr>
          <w:p w14:paraId="0E1B29AB" w14:textId="77777777" w:rsidR="000D7A04" w:rsidRPr="00566312" w:rsidRDefault="000D7A04" w:rsidP="00EC1671">
            <w:pPr>
              <w:spacing w:after="240" w:line="480" w:lineRule="auto"/>
              <w:jc w:val="both"/>
              <w:rPr>
                <w:rFonts w:ascii="David" w:hAnsi="David"/>
                <w:szCs w:val="24"/>
                <w:rtl/>
              </w:rPr>
            </w:pPr>
            <w:r w:rsidRPr="00566312">
              <w:rPr>
                <w:rFonts w:ascii="David" w:hAnsi="David"/>
                <w:szCs w:val="24"/>
                <w:rtl/>
              </w:rPr>
              <w:t>בסעיפים אלו, תבקש החברה כי תינתן לה זכות טיעון עובר לקביעתו של הסופית של מנהל רשות הגז הטבעי הנכבד.</w:t>
            </w:r>
          </w:p>
        </w:tc>
        <w:tc>
          <w:tcPr>
            <w:tcW w:w="4678" w:type="dxa"/>
          </w:tcPr>
          <w:p w14:paraId="431A44A9"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הבקשה לא מתקבלת.</w:t>
            </w:r>
          </w:p>
          <w:p w14:paraId="61C8E26E" w14:textId="77777777" w:rsidR="000D7A04" w:rsidRPr="00566312" w:rsidRDefault="000D7A04" w:rsidP="00EC1671">
            <w:pPr>
              <w:tabs>
                <w:tab w:val="left" w:pos="8617"/>
              </w:tabs>
              <w:spacing w:line="360" w:lineRule="auto"/>
              <w:jc w:val="both"/>
              <w:rPr>
                <w:rFonts w:ascii="David" w:hAnsi="David"/>
                <w:szCs w:val="24"/>
                <w:rtl/>
              </w:rPr>
            </w:pPr>
            <w:r w:rsidRPr="00566312">
              <w:rPr>
                <w:rFonts w:ascii="David" w:hAnsi="David"/>
                <w:szCs w:val="24"/>
                <w:rtl/>
              </w:rPr>
              <w:t>יחד עם זאת, יובהר למען הסר ספק, כי אין בכך בכדי לגרוע מהאפשרות לבקש ממגיש הבקשה הבהרות, נתונים או מסמכים לצורך הקביעה האמורה בסעיפים 7.2.4 ו- 7.2.5  ככל שיהיה צורך בכך.</w:t>
            </w:r>
          </w:p>
        </w:tc>
      </w:tr>
      <w:tr w:rsidR="000D7A04" w:rsidRPr="00566312" w14:paraId="6258569A" w14:textId="77777777" w:rsidTr="00EC1671">
        <w:trPr>
          <w:trHeight w:val="991"/>
        </w:trPr>
        <w:tc>
          <w:tcPr>
            <w:tcW w:w="1152" w:type="dxa"/>
          </w:tcPr>
          <w:p w14:paraId="07014F3D"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2</w:t>
            </w:r>
          </w:p>
        </w:tc>
        <w:tc>
          <w:tcPr>
            <w:tcW w:w="1116" w:type="dxa"/>
          </w:tcPr>
          <w:p w14:paraId="58498517"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15</w:t>
            </w:r>
          </w:p>
        </w:tc>
        <w:tc>
          <w:tcPr>
            <w:tcW w:w="1030" w:type="dxa"/>
          </w:tcPr>
          <w:p w14:paraId="1783AA76"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11</w:t>
            </w:r>
          </w:p>
          <w:p w14:paraId="312F21F2" w14:textId="77777777" w:rsidR="000D7A04" w:rsidRPr="00566312" w:rsidRDefault="000D7A04" w:rsidP="00EC1671">
            <w:pPr>
              <w:rPr>
                <w:rFonts w:ascii="David" w:hAnsi="David"/>
                <w:szCs w:val="24"/>
                <w:rtl/>
              </w:rPr>
            </w:pPr>
          </w:p>
          <w:p w14:paraId="783619C7" w14:textId="77777777" w:rsidR="000D7A04" w:rsidRPr="00566312" w:rsidRDefault="000D7A04" w:rsidP="00EC1671">
            <w:pPr>
              <w:rPr>
                <w:rFonts w:ascii="David" w:hAnsi="David"/>
                <w:szCs w:val="24"/>
                <w:rtl/>
              </w:rPr>
            </w:pPr>
          </w:p>
        </w:tc>
        <w:tc>
          <w:tcPr>
            <w:tcW w:w="5361" w:type="dxa"/>
          </w:tcPr>
          <w:p w14:paraId="4E87D177" w14:textId="77777777" w:rsidR="000D7A04" w:rsidRPr="00566312" w:rsidRDefault="000D7A04" w:rsidP="00EC1671">
            <w:pPr>
              <w:spacing w:after="240" w:line="480" w:lineRule="auto"/>
              <w:jc w:val="both"/>
              <w:rPr>
                <w:rFonts w:ascii="David" w:hAnsi="David"/>
                <w:szCs w:val="24"/>
                <w:rtl/>
              </w:rPr>
            </w:pPr>
            <w:r w:rsidRPr="00566312">
              <w:rPr>
                <w:rFonts w:ascii="David" w:hAnsi="David"/>
                <w:szCs w:val="24"/>
                <w:rtl/>
              </w:rPr>
              <w:t>עפ"י תנאי הרישיון של החברה, התשלום בגין חיבור צרכן מרוחק חל על הצרכן ועל חשבונו. כך היה עד עתה הן בחיבור צרכנים מרוחקים שמימנו את החיבור על חשבונם באופן מלא או חלקי וכך היה במכרז המרוחקים הקודם שבו נקבע כי המדינה תממן את עלויות החיבור של צרכנים מרוחקים. בהתאם לתנאי אותו רישיון בתום תקופת הרישיון החברה זכאית לתשלום בגין כלל הרשת שהקימה, לרבות אותם חלקים מרשת החלוקה שהוקמו לצורך חיבור צרכנים מרוחקים. בניגוד לאמור, בהליך הנוכחי מבקשת המדינה לקבוע שבתום תקופת הרישיון החברה לא תהא זכאית לתשלום בגין אותם חלקים מהרשת שהוקמו עבור צרכנים מרוחקים בהתאם לתנאי ההליך. אין לכך הצדקה ולכן יש להסיר את הדרישה ולשוב למתכונת הקודמת.</w:t>
            </w:r>
          </w:p>
        </w:tc>
        <w:tc>
          <w:tcPr>
            <w:tcW w:w="4678" w:type="dxa"/>
          </w:tcPr>
          <w:p w14:paraId="4B7BAAE8"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הבקשה לא מתקבלת.</w:t>
            </w:r>
          </w:p>
        </w:tc>
      </w:tr>
      <w:tr w:rsidR="000D7A04" w:rsidRPr="00566312" w14:paraId="2FF5E810" w14:textId="77777777" w:rsidTr="00EC1671">
        <w:trPr>
          <w:trHeight w:val="2861"/>
        </w:trPr>
        <w:tc>
          <w:tcPr>
            <w:tcW w:w="1152" w:type="dxa"/>
          </w:tcPr>
          <w:p w14:paraId="71FF475B"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3</w:t>
            </w:r>
          </w:p>
        </w:tc>
        <w:tc>
          <w:tcPr>
            <w:tcW w:w="1116" w:type="dxa"/>
          </w:tcPr>
          <w:p w14:paraId="69616019"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6</w:t>
            </w:r>
          </w:p>
        </w:tc>
        <w:tc>
          <w:tcPr>
            <w:tcW w:w="1030" w:type="dxa"/>
          </w:tcPr>
          <w:p w14:paraId="57B08A9A" w14:textId="77777777" w:rsidR="000D7A04" w:rsidRPr="00566312" w:rsidRDefault="000D7A04" w:rsidP="00EC1671">
            <w:pPr>
              <w:tabs>
                <w:tab w:val="left" w:pos="8617"/>
              </w:tabs>
              <w:spacing w:line="360" w:lineRule="auto"/>
              <w:rPr>
                <w:rFonts w:ascii="David" w:hAnsi="David"/>
                <w:szCs w:val="24"/>
                <w:u w:val="single"/>
                <w:rtl/>
              </w:rPr>
            </w:pPr>
            <w:r w:rsidRPr="00566312">
              <w:rPr>
                <w:rFonts w:ascii="David" w:hAnsi="David"/>
                <w:szCs w:val="24"/>
                <w:rtl/>
              </w:rPr>
              <w:t>4.2.5</w:t>
            </w:r>
          </w:p>
        </w:tc>
        <w:tc>
          <w:tcPr>
            <w:tcW w:w="5361" w:type="dxa"/>
          </w:tcPr>
          <w:p w14:paraId="2AC228E3" w14:textId="77777777" w:rsidR="000D7A04" w:rsidRPr="00566312" w:rsidRDefault="000D7A04" w:rsidP="00EC1671">
            <w:pPr>
              <w:spacing w:after="240" w:line="480" w:lineRule="auto"/>
              <w:jc w:val="both"/>
              <w:rPr>
                <w:rFonts w:ascii="David" w:hAnsi="David"/>
                <w:szCs w:val="24"/>
                <w:u w:val="single"/>
              </w:rPr>
            </w:pPr>
            <w:r w:rsidRPr="00566312">
              <w:rPr>
                <w:rFonts w:ascii="David" w:hAnsi="David"/>
                <w:szCs w:val="24"/>
                <w:rtl/>
              </w:rPr>
              <w:t>אנו סבורים שמטרת הסעיף הזה היתה למנוע מצב של השבת כספים לצרכנים מרוחקים אשר שילמו בעבר את מלוא עלות החיבור כצרכן מרוחק או חלק ממנה. אולם בנוסח זה צרכנים שטרם חוברו ואף טרם הסתיים הליך היתר הבניה או אישור התכנית, מופלים שלא לצורך רק מפני שחתמו הסכם עם החברה. אנו מבקשים להסיר סעיף זה או לחילופין להחריג צרכנים שטרם חוברו לרשת החלוקה והינם בגדר לקוח מרוחק.</w:t>
            </w:r>
          </w:p>
        </w:tc>
        <w:tc>
          <w:tcPr>
            <w:tcW w:w="4678" w:type="dxa"/>
          </w:tcPr>
          <w:p w14:paraId="75A7585D"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הבקשה לא מתקבלת.</w:t>
            </w:r>
          </w:p>
        </w:tc>
      </w:tr>
      <w:tr w:rsidR="000D7A04" w:rsidRPr="00566312" w14:paraId="7E3EABFC" w14:textId="77777777" w:rsidTr="00EC1671">
        <w:trPr>
          <w:trHeight w:val="2861"/>
        </w:trPr>
        <w:tc>
          <w:tcPr>
            <w:tcW w:w="1152" w:type="dxa"/>
          </w:tcPr>
          <w:p w14:paraId="07D48675"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4</w:t>
            </w:r>
          </w:p>
        </w:tc>
        <w:tc>
          <w:tcPr>
            <w:tcW w:w="1116" w:type="dxa"/>
          </w:tcPr>
          <w:p w14:paraId="7F36E568"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1</w:t>
            </w:r>
          </w:p>
          <w:p w14:paraId="780BBBBE"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4</w:t>
            </w:r>
          </w:p>
        </w:tc>
        <w:tc>
          <w:tcPr>
            <w:tcW w:w="1030" w:type="dxa"/>
          </w:tcPr>
          <w:p w14:paraId="752E56B1"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1.3.2</w:t>
            </w:r>
          </w:p>
          <w:p w14:paraId="0DC0A915"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4.2.3</w:t>
            </w:r>
          </w:p>
        </w:tc>
        <w:tc>
          <w:tcPr>
            <w:tcW w:w="5361" w:type="dxa"/>
          </w:tcPr>
          <w:p w14:paraId="332349F2" w14:textId="77777777" w:rsidR="000D7A04" w:rsidRPr="00566312" w:rsidRDefault="000D7A04" w:rsidP="00EC1671">
            <w:pPr>
              <w:spacing w:after="240" w:line="480" w:lineRule="auto"/>
              <w:jc w:val="both"/>
              <w:rPr>
                <w:rFonts w:ascii="David" w:hAnsi="David"/>
                <w:szCs w:val="24"/>
                <w:rtl/>
              </w:rPr>
            </w:pPr>
            <w:r w:rsidRPr="00566312">
              <w:rPr>
                <w:rFonts w:ascii="David" w:hAnsi="David"/>
                <w:szCs w:val="24"/>
                <w:rtl/>
              </w:rPr>
              <w:t>על מנת שצרכן  מרוחק יעמוד בתנאים המפורטים בסעיף 4.2.2 (150 אלף מ"ק לכל ק"מ בקו אווירי) הכרחי שיחובר לרשת בלחץ נמוך. אין אפשרות הנדסית לחבר צרכן כזה למערכת החלוקה בלחץ נמוך מאוד.</w:t>
            </w:r>
          </w:p>
          <w:p w14:paraId="6BD88F0B" w14:textId="77777777" w:rsidR="000D7A04" w:rsidRPr="00566312" w:rsidRDefault="000D7A04" w:rsidP="00EC1671">
            <w:pPr>
              <w:spacing w:after="240" w:line="480" w:lineRule="auto"/>
              <w:jc w:val="both"/>
              <w:rPr>
                <w:rFonts w:ascii="David" w:hAnsi="David"/>
                <w:szCs w:val="24"/>
                <w:rtl/>
              </w:rPr>
            </w:pPr>
            <w:r w:rsidRPr="00566312">
              <w:rPr>
                <w:rFonts w:ascii="David" w:hAnsi="David"/>
                <w:szCs w:val="24"/>
                <w:rtl/>
              </w:rPr>
              <w:t>על כן, אנו מבקשים להגדיר זאת מראש במכרז כי לא ימדדו מרחקים ממערכת החלוקה בלחץ נמוך מאוד.</w:t>
            </w:r>
          </w:p>
        </w:tc>
        <w:tc>
          <w:tcPr>
            <w:tcW w:w="4678" w:type="dxa"/>
          </w:tcPr>
          <w:p w14:paraId="6DF499CC"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אין שינוי בתנאי המכרז.</w:t>
            </w:r>
          </w:p>
          <w:p w14:paraId="5BBD0A3D"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יחד עם זאת ראה סעיף  4.2.3 למסמכי המכרז.</w:t>
            </w:r>
          </w:p>
        </w:tc>
      </w:tr>
      <w:tr w:rsidR="000D7A04" w:rsidRPr="00566312" w14:paraId="58B7437A" w14:textId="77777777" w:rsidTr="00EC1671">
        <w:trPr>
          <w:trHeight w:val="1093"/>
        </w:trPr>
        <w:tc>
          <w:tcPr>
            <w:tcW w:w="1152" w:type="dxa"/>
          </w:tcPr>
          <w:p w14:paraId="4558DCFB"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5</w:t>
            </w:r>
          </w:p>
        </w:tc>
        <w:tc>
          <w:tcPr>
            <w:tcW w:w="1116" w:type="dxa"/>
          </w:tcPr>
          <w:p w14:paraId="7D225B87"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5</w:t>
            </w:r>
          </w:p>
        </w:tc>
        <w:tc>
          <w:tcPr>
            <w:tcW w:w="1030" w:type="dxa"/>
          </w:tcPr>
          <w:p w14:paraId="2A1E3BC9"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4.2.4.2</w:t>
            </w:r>
          </w:p>
        </w:tc>
        <w:tc>
          <w:tcPr>
            <w:tcW w:w="5361" w:type="dxa"/>
          </w:tcPr>
          <w:p w14:paraId="64E85DAB" w14:textId="77777777" w:rsidR="000D7A04" w:rsidRPr="00566312" w:rsidDel="00787621" w:rsidRDefault="000D7A04" w:rsidP="00EC1671">
            <w:pPr>
              <w:spacing w:after="240" w:line="480" w:lineRule="auto"/>
              <w:jc w:val="both"/>
              <w:rPr>
                <w:rFonts w:ascii="David" w:hAnsi="David"/>
                <w:szCs w:val="24"/>
                <w:rtl/>
              </w:rPr>
            </w:pPr>
            <w:r w:rsidRPr="00566312">
              <w:rPr>
                <w:rFonts w:ascii="David" w:hAnsi="David"/>
                <w:szCs w:val="24"/>
                <w:rtl/>
              </w:rPr>
              <w:t>סעיף זה מפנה אל סעיף 7.6, סעיף זה אינו קיים.</w:t>
            </w:r>
          </w:p>
        </w:tc>
        <w:tc>
          <w:tcPr>
            <w:tcW w:w="4678" w:type="dxa"/>
          </w:tcPr>
          <w:p w14:paraId="415E462F"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ר' סעיף 4.2.4.2 למכרז המתוקן.</w:t>
            </w:r>
          </w:p>
        </w:tc>
      </w:tr>
      <w:tr w:rsidR="000D7A04" w:rsidRPr="00566312" w14:paraId="49FA8126" w14:textId="77777777" w:rsidTr="00EC1671">
        <w:trPr>
          <w:trHeight w:val="2861"/>
        </w:trPr>
        <w:tc>
          <w:tcPr>
            <w:tcW w:w="1152" w:type="dxa"/>
          </w:tcPr>
          <w:p w14:paraId="09A48753"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6</w:t>
            </w:r>
          </w:p>
        </w:tc>
        <w:tc>
          <w:tcPr>
            <w:tcW w:w="1116" w:type="dxa"/>
          </w:tcPr>
          <w:p w14:paraId="07E83321"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10,11</w:t>
            </w:r>
          </w:p>
        </w:tc>
        <w:tc>
          <w:tcPr>
            <w:tcW w:w="1030" w:type="dxa"/>
          </w:tcPr>
          <w:p w14:paraId="71FE2066"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9.1</w:t>
            </w:r>
          </w:p>
        </w:tc>
        <w:tc>
          <w:tcPr>
            <w:tcW w:w="5361" w:type="dxa"/>
          </w:tcPr>
          <w:p w14:paraId="3D2DD7B9" w14:textId="77777777" w:rsidR="000D7A04" w:rsidRPr="00566312" w:rsidRDefault="000D7A04" w:rsidP="00EC1671">
            <w:pPr>
              <w:spacing w:after="240" w:line="480" w:lineRule="auto"/>
              <w:jc w:val="both"/>
              <w:rPr>
                <w:rFonts w:ascii="David" w:hAnsi="David"/>
                <w:szCs w:val="24"/>
                <w:rtl/>
              </w:rPr>
            </w:pPr>
            <w:r w:rsidRPr="00566312">
              <w:rPr>
                <w:rFonts w:ascii="David" w:hAnsi="David"/>
                <w:szCs w:val="24"/>
                <w:rtl/>
              </w:rPr>
              <w:t>הניסיון מלמד כי חתימה על הסכם מחייב עם חברת חלוקה יתבצע רק לאחר הליך בחינה כלכלית ואישור במוסדות החברה והדירקטוריונים, אשר במקרים רבים שייכים לחברות בינלאומיות. לכן חתימה על הסכם מחייב בתוך חודשיים אינה ריאלית. יש לקבוע שההסכם יחתם בתוך 12 חודשים או לכל המאוחר קודם לתשלום אבן הדרך הראשונה על ידי המדינה.</w:t>
            </w:r>
          </w:p>
        </w:tc>
        <w:tc>
          <w:tcPr>
            <w:tcW w:w="4678" w:type="dxa"/>
          </w:tcPr>
          <w:p w14:paraId="22B9B8FD"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 xml:space="preserve">ר' סעיף 9.1 למכרז המתוקן. </w:t>
            </w:r>
          </w:p>
        </w:tc>
      </w:tr>
      <w:tr w:rsidR="000D7A04" w:rsidRPr="00566312" w14:paraId="4E1EC428" w14:textId="77777777" w:rsidTr="00EC1671">
        <w:trPr>
          <w:trHeight w:val="1699"/>
        </w:trPr>
        <w:tc>
          <w:tcPr>
            <w:tcW w:w="1152" w:type="dxa"/>
          </w:tcPr>
          <w:p w14:paraId="2A397456"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7</w:t>
            </w:r>
          </w:p>
        </w:tc>
        <w:tc>
          <w:tcPr>
            <w:tcW w:w="1116" w:type="dxa"/>
          </w:tcPr>
          <w:p w14:paraId="7930BF6F"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כללי</w:t>
            </w:r>
          </w:p>
        </w:tc>
        <w:tc>
          <w:tcPr>
            <w:tcW w:w="1030" w:type="dxa"/>
          </w:tcPr>
          <w:p w14:paraId="5E2D0E5E" w14:textId="77777777" w:rsidR="000D7A04" w:rsidRPr="00566312" w:rsidRDefault="000D7A04" w:rsidP="00EC1671">
            <w:pPr>
              <w:tabs>
                <w:tab w:val="left" w:pos="8617"/>
              </w:tabs>
              <w:spacing w:line="360" w:lineRule="auto"/>
              <w:rPr>
                <w:rFonts w:ascii="David" w:hAnsi="David"/>
                <w:szCs w:val="24"/>
                <w:rtl/>
              </w:rPr>
            </w:pPr>
          </w:p>
        </w:tc>
        <w:tc>
          <w:tcPr>
            <w:tcW w:w="5361" w:type="dxa"/>
          </w:tcPr>
          <w:p w14:paraId="018D0E89" w14:textId="77777777" w:rsidR="000D7A04" w:rsidRPr="00566312" w:rsidRDefault="000D7A04" w:rsidP="00EC1671">
            <w:pPr>
              <w:spacing w:after="240" w:line="480" w:lineRule="auto"/>
              <w:jc w:val="both"/>
              <w:rPr>
                <w:rFonts w:ascii="David" w:hAnsi="David"/>
                <w:szCs w:val="24"/>
                <w:rtl/>
              </w:rPr>
            </w:pPr>
            <w:r w:rsidRPr="00566312">
              <w:rPr>
                <w:rFonts w:ascii="David" w:hAnsi="David"/>
                <w:szCs w:val="24"/>
                <w:rtl/>
              </w:rPr>
              <w:t>האצת הבנייה והגדלת היצע יחידות הדיור יוצרת פרויקטים חדשים ומגוונים גם בתחום הגז הטבעי. שכונות חדשות הנבנות בדרום הארץ כדוגמת עיר היין באשקלון ואפילו ערים חדשות המתוכננות בדרום (כסיף, לאורך כביש 31) אינן יכולות ליהנות מיתרונות הגז הטבעי מכיוון שאינן כלולות בתנאי הסכם זה.</w:t>
            </w:r>
          </w:p>
          <w:p w14:paraId="1B733DD7" w14:textId="77777777" w:rsidR="000D7A04" w:rsidRPr="00566312" w:rsidRDefault="000D7A04" w:rsidP="00EC1671">
            <w:pPr>
              <w:spacing w:after="240" w:line="480" w:lineRule="auto"/>
              <w:jc w:val="both"/>
              <w:rPr>
                <w:rFonts w:ascii="David" w:hAnsi="David"/>
                <w:szCs w:val="24"/>
                <w:rtl/>
              </w:rPr>
            </w:pPr>
            <w:r w:rsidRPr="00566312">
              <w:rPr>
                <w:rFonts w:ascii="David" w:hAnsi="David"/>
                <w:szCs w:val="24"/>
                <w:rtl/>
              </w:rPr>
              <w:t>כפי שיצרו מנגנון לחיבור תחנות גט"ד על אף שאינן עומדות בתנאי לקוח מרוחק כהגדרתו, אנו מבקשים ליצור מנגנון בהסכם שיאפשר מימון לחיבור ערים ושכונות מגורים חדשות.</w:t>
            </w:r>
          </w:p>
        </w:tc>
        <w:tc>
          <w:tcPr>
            <w:tcW w:w="4678" w:type="dxa"/>
          </w:tcPr>
          <w:p w14:paraId="2F18310E"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הבקשה לא מתקבלת.</w:t>
            </w:r>
          </w:p>
        </w:tc>
      </w:tr>
      <w:tr w:rsidR="000D7A04" w:rsidRPr="00566312" w14:paraId="084A2ACE" w14:textId="77777777" w:rsidTr="00EC1671">
        <w:trPr>
          <w:trHeight w:val="2861"/>
        </w:trPr>
        <w:tc>
          <w:tcPr>
            <w:tcW w:w="1152" w:type="dxa"/>
          </w:tcPr>
          <w:p w14:paraId="0D582177"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8</w:t>
            </w:r>
          </w:p>
        </w:tc>
        <w:tc>
          <w:tcPr>
            <w:tcW w:w="1116" w:type="dxa"/>
          </w:tcPr>
          <w:p w14:paraId="090895D2"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כללי</w:t>
            </w:r>
          </w:p>
        </w:tc>
        <w:tc>
          <w:tcPr>
            <w:tcW w:w="1030" w:type="dxa"/>
          </w:tcPr>
          <w:p w14:paraId="2968469F" w14:textId="77777777" w:rsidR="000D7A04" w:rsidRPr="00566312" w:rsidRDefault="000D7A04" w:rsidP="00EC1671">
            <w:pPr>
              <w:tabs>
                <w:tab w:val="left" w:pos="8617"/>
              </w:tabs>
              <w:spacing w:line="360" w:lineRule="auto"/>
              <w:rPr>
                <w:rFonts w:ascii="David" w:hAnsi="David"/>
                <w:szCs w:val="24"/>
                <w:rtl/>
              </w:rPr>
            </w:pPr>
          </w:p>
        </w:tc>
        <w:tc>
          <w:tcPr>
            <w:tcW w:w="5361" w:type="dxa"/>
          </w:tcPr>
          <w:p w14:paraId="206A177B" w14:textId="77777777" w:rsidR="000D7A04" w:rsidRPr="00566312" w:rsidRDefault="000D7A04" w:rsidP="00EC1671">
            <w:pPr>
              <w:spacing w:after="240" w:line="480" w:lineRule="auto"/>
              <w:jc w:val="both"/>
              <w:rPr>
                <w:rFonts w:ascii="David" w:hAnsi="David"/>
                <w:szCs w:val="24"/>
                <w:rtl/>
              </w:rPr>
            </w:pPr>
            <w:r w:rsidRPr="00566312">
              <w:rPr>
                <w:rFonts w:ascii="David" w:hAnsi="David"/>
                <w:szCs w:val="24"/>
                <w:rtl/>
              </w:rPr>
              <w:t>האם גוף אחד שמבקש חיבור לרשת כצרכן מרוחק הן עבור מתקן קוגנרציה והן עבור תחנת תדלוק בגט"ד, יחשב צרכן אחד או כשני צרכנים, ואם יחשב כצרכן אחד איזה כללים יחולו עליו?</w:t>
            </w:r>
          </w:p>
        </w:tc>
        <w:tc>
          <w:tcPr>
            <w:tcW w:w="4678" w:type="dxa"/>
          </w:tcPr>
          <w:p w14:paraId="21139BBB" w14:textId="77777777" w:rsidR="000D7A04" w:rsidRPr="00566312" w:rsidRDefault="000D7A04" w:rsidP="00EC1671">
            <w:pPr>
              <w:tabs>
                <w:tab w:val="left" w:pos="8617"/>
              </w:tabs>
              <w:spacing w:line="360" w:lineRule="auto"/>
              <w:jc w:val="both"/>
              <w:rPr>
                <w:rFonts w:ascii="David" w:hAnsi="David"/>
                <w:szCs w:val="24"/>
                <w:rtl/>
              </w:rPr>
            </w:pPr>
            <w:r w:rsidRPr="00566312">
              <w:rPr>
                <w:rFonts w:ascii="David" w:hAnsi="David"/>
                <w:szCs w:val="24"/>
                <w:rtl/>
              </w:rPr>
              <w:t xml:space="preserve">במקרה ומדובר באותו צרכן לרבות כשמדובר בישות משפטית אחת ובאותו מתחם, על מגיש הבקשה לבחור האם הוא מגיש בקשה עבור צרכן שהוא תחנת תדלוק או עבור צרכן אחר. הבקשה תיבחן בהתאם ויחולו עליה הכללים הרלוונטיים  לאותו צרכן. יודגש כי במסגרת הוראות סעיף 9.1(ב) למכרז, יוגש הסכם חלוקה אחד (ולא שני הסכמי חלוקה) התואם לצרכן שבבקשה (תחנת תדלוק או צרכן אחר). למען הסר ספק, אין בכך כדי לגרוע מהאמור בסעיף 9 למכרז. </w:t>
            </w:r>
          </w:p>
        </w:tc>
      </w:tr>
      <w:tr w:rsidR="000D7A04" w:rsidRPr="00566312" w14:paraId="2DC1C3E0" w14:textId="77777777" w:rsidTr="00EC1671">
        <w:trPr>
          <w:trHeight w:val="3968"/>
        </w:trPr>
        <w:tc>
          <w:tcPr>
            <w:tcW w:w="1152" w:type="dxa"/>
          </w:tcPr>
          <w:p w14:paraId="2058DA75"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9</w:t>
            </w:r>
          </w:p>
        </w:tc>
        <w:tc>
          <w:tcPr>
            <w:tcW w:w="1116" w:type="dxa"/>
          </w:tcPr>
          <w:p w14:paraId="0BC18822" w14:textId="77777777" w:rsidR="000D7A04" w:rsidRPr="00566312" w:rsidRDefault="000D7A04" w:rsidP="00EC1671">
            <w:pPr>
              <w:tabs>
                <w:tab w:val="left" w:pos="8617"/>
              </w:tabs>
              <w:spacing w:line="360" w:lineRule="auto"/>
              <w:rPr>
                <w:rFonts w:ascii="David" w:hAnsi="David"/>
                <w:szCs w:val="24"/>
                <w:rtl/>
              </w:rPr>
            </w:pPr>
          </w:p>
        </w:tc>
        <w:tc>
          <w:tcPr>
            <w:tcW w:w="1030" w:type="dxa"/>
          </w:tcPr>
          <w:p w14:paraId="1A903AB9" w14:textId="77777777" w:rsidR="000D7A04" w:rsidRPr="00566312" w:rsidRDefault="000D7A04" w:rsidP="00EC1671">
            <w:pPr>
              <w:tabs>
                <w:tab w:val="left" w:pos="8617"/>
              </w:tabs>
              <w:spacing w:line="360" w:lineRule="auto"/>
              <w:rPr>
                <w:rFonts w:ascii="David" w:hAnsi="David"/>
                <w:szCs w:val="24"/>
                <w:rtl/>
              </w:rPr>
            </w:pPr>
          </w:p>
        </w:tc>
        <w:tc>
          <w:tcPr>
            <w:tcW w:w="5361" w:type="dxa"/>
          </w:tcPr>
          <w:p w14:paraId="2A2991CB" w14:textId="77777777" w:rsidR="000D7A04" w:rsidRPr="00566312" w:rsidRDefault="000D7A04" w:rsidP="00EC1671">
            <w:pPr>
              <w:spacing w:line="480" w:lineRule="auto"/>
              <w:jc w:val="both"/>
              <w:rPr>
                <w:rFonts w:ascii="David" w:hAnsi="David"/>
                <w:szCs w:val="24"/>
              </w:rPr>
            </w:pPr>
            <w:r w:rsidRPr="00566312">
              <w:rPr>
                <w:rFonts w:ascii="David" w:hAnsi="David"/>
                <w:szCs w:val="24"/>
                <w:rtl/>
              </w:rPr>
              <w:t>האם בעל רישיון חלוקה רשאי להגיש בקשה לקבלת  מענק   במסגרת המכרז, ביחס לצרכן מרוחק אשר הסכם החלוקה שלו (שנחתם לפני יום 6.5.17) – בוטל, וכעת ייחתם מחדש לצורך הגשת בקשה במכרז.</w:t>
            </w:r>
          </w:p>
          <w:p w14:paraId="17CAD045" w14:textId="77777777" w:rsidR="000D7A04" w:rsidRPr="00566312" w:rsidRDefault="000D7A04" w:rsidP="00EC1671">
            <w:pPr>
              <w:spacing w:line="480" w:lineRule="auto"/>
              <w:jc w:val="both"/>
              <w:rPr>
                <w:rFonts w:ascii="David" w:hAnsi="David"/>
                <w:szCs w:val="24"/>
              </w:rPr>
            </w:pPr>
            <w:r w:rsidRPr="00566312">
              <w:rPr>
                <w:rFonts w:ascii="David" w:hAnsi="David"/>
                <w:szCs w:val="24"/>
                <w:rtl/>
              </w:rPr>
              <w:t>יובהר, כי לא נעשתה כל עבודה לחיבור הצרכן לרשת החלוקה במקטע הרלוונטי, במהלך התקופה שקדמה לביטול ההסכם.</w:t>
            </w:r>
          </w:p>
          <w:p w14:paraId="5AA4B165" w14:textId="77777777" w:rsidR="000D7A04" w:rsidRPr="00566312" w:rsidRDefault="000D7A04" w:rsidP="00EC1671">
            <w:pPr>
              <w:spacing w:line="360" w:lineRule="auto"/>
              <w:rPr>
                <w:rFonts w:ascii="David" w:hAnsi="David"/>
                <w:szCs w:val="24"/>
                <w:rtl/>
              </w:rPr>
            </w:pPr>
          </w:p>
        </w:tc>
        <w:tc>
          <w:tcPr>
            <w:tcW w:w="4678" w:type="dxa"/>
          </w:tcPr>
          <w:p w14:paraId="7B3650B8" w14:textId="77777777" w:rsidR="000D7A04" w:rsidRPr="002B76A7" w:rsidRDefault="000D7A04" w:rsidP="00EC1671">
            <w:pPr>
              <w:spacing w:line="360" w:lineRule="auto"/>
              <w:jc w:val="both"/>
              <w:rPr>
                <w:rFonts w:ascii="David" w:hAnsi="David"/>
                <w:szCs w:val="24"/>
                <w:rtl/>
              </w:rPr>
            </w:pPr>
            <w:r w:rsidRPr="002B76A7">
              <w:rPr>
                <w:rFonts w:ascii="David" w:hAnsi="David" w:hint="eastAsia"/>
                <w:szCs w:val="24"/>
                <w:rtl/>
              </w:rPr>
              <w:t>הדבר</w:t>
            </w:r>
            <w:r w:rsidRPr="002B76A7">
              <w:rPr>
                <w:rFonts w:ascii="David" w:hAnsi="David"/>
                <w:szCs w:val="24"/>
                <w:rtl/>
              </w:rPr>
              <w:t xml:space="preserve"> יתאפשר בכפוף לשינויים שנעשו במסמכי </w:t>
            </w:r>
            <w:r w:rsidRPr="002B76A7">
              <w:rPr>
                <w:rFonts w:ascii="David" w:hAnsi="David" w:hint="eastAsia"/>
                <w:szCs w:val="24"/>
                <w:rtl/>
              </w:rPr>
              <w:t>המכרז</w:t>
            </w:r>
            <w:r w:rsidRPr="002B76A7">
              <w:rPr>
                <w:rFonts w:ascii="David" w:hAnsi="David"/>
                <w:szCs w:val="24"/>
                <w:rtl/>
              </w:rPr>
              <w:t>.</w:t>
            </w:r>
          </w:p>
          <w:p w14:paraId="6DC3ABA9" w14:textId="77777777" w:rsidR="000D7A04" w:rsidRDefault="000D7A04" w:rsidP="00EC1671">
            <w:pPr>
              <w:spacing w:line="360" w:lineRule="auto"/>
              <w:jc w:val="both"/>
              <w:rPr>
                <w:rFonts w:ascii="David" w:hAnsi="David"/>
                <w:szCs w:val="24"/>
                <w:rtl/>
              </w:rPr>
            </w:pPr>
            <w:r w:rsidRPr="002B76A7">
              <w:rPr>
                <w:rFonts w:ascii="David" w:hAnsi="David" w:hint="eastAsia"/>
                <w:szCs w:val="24"/>
                <w:rtl/>
              </w:rPr>
              <w:t>לתשומת</w:t>
            </w:r>
            <w:r w:rsidRPr="002B76A7">
              <w:rPr>
                <w:rFonts w:ascii="David" w:hAnsi="David"/>
                <w:szCs w:val="24"/>
                <w:rtl/>
              </w:rPr>
              <w:t xml:space="preserve"> </w:t>
            </w:r>
            <w:r w:rsidRPr="002B76A7">
              <w:rPr>
                <w:rFonts w:ascii="David" w:hAnsi="David" w:hint="eastAsia"/>
                <w:szCs w:val="24"/>
                <w:rtl/>
              </w:rPr>
              <w:t>ליבכם</w:t>
            </w:r>
            <w:r w:rsidRPr="002B76A7">
              <w:rPr>
                <w:rFonts w:ascii="David" w:hAnsi="David"/>
                <w:szCs w:val="24"/>
                <w:rtl/>
              </w:rPr>
              <w:t xml:space="preserve"> - </w:t>
            </w:r>
            <w:r w:rsidRPr="002B76A7">
              <w:rPr>
                <w:rFonts w:ascii="David" w:hAnsi="David" w:hint="eastAsia"/>
                <w:szCs w:val="24"/>
                <w:rtl/>
              </w:rPr>
              <w:t>בעקבות</w:t>
            </w:r>
            <w:r w:rsidRPr="002B76A7">
              <w:rPr>
                <w:rFonts w:ascii="David" w:hAnsi="David"/>
                <w:szCs w:val="24"/>
                <w:rtl/>
              </w:rPr>
              <w:t xml:space="preserve"> </w:t>
            </w:r>
            <w:r w:rsidRPr="002B76A7">
              <w:rPr>
                <w:rFonts w:ascii="David" w:hAnsi="David" w:hint="eastAsia"/>
                <w:szCs w:val="24"/>
                <w:rtl/>
              </w:rPr>
              <w:t>השאלה</w:t>
            </w:r>
            <w:r w:rsidRPr="002B76A7">
              <w:rPr>
                <w:rFonts w:ascii="David" w:hAnsi="David"/>
                <w:szCs w:val="24"/>
                <w:rtl/>
              </w:rPr>
              <w:t xml:space="preserve"> </w:t>
            </w:r>
            <w:r w:rsidRPr="002B76A7">
              <w:rPr>
                <w:rFonts w:ascii="David" w:hAnsi="David" w:hint="eastAsia"/>
                <w:szCs w:val="24"/>
                <w:rtl/>
              </w:rPr>
              <w:t>בוצעו</w:t>
            </w:r>
            <w:r w:rsidRPr="002B76A7">
              <w:rPr>
                <w:rFonts w:ascii="David" w:hAnsi="David"/>
                <w:szCs w:val="24"/>
                <w:rtl/>
              </w:rPr>
              <w:t xml:space="preserve"> </w:t>
            </w:r>
            <w:r w:rsidRPr="002B76A7">
              <w:rPr>
                <w:rFonts w:ascii="David" w:hAnsi="David" w:hint="eastAsia"/>
                <w:szCs w:val="24"/>
                <w:rtl/>
              </w:rPr>
              <w:t>מספר</w:t>
            </w:r>
            <w:r w:rsidRPr="002B76A7">
              <w:rPr>
                <w:rFonts w:ascii="David" w:hAnsi="David"/>
                <w:szCs w:val="24"/>
                <w:rtl/>
              </w:rPr>
              <w:t xml:space="preserve"> </w:t>
            </w:r>
            <w:r w:rsidRPr="002B76A7">
              <w:rPr>
                <w:rFonts w:ascii="David" w:hAnsi="David" w:hint="eastAsia"/>
                <w:szCs w:val="24"/>
                <w:rtl/>
              </w:rPr>
              <w:t>שינויים</w:t>
            </w:r>
            <w:r w:rsidRPr="002B76A7">
              <w:rPr>
                <w:rFonts w:ascii="David" w:hAnsi="David"/>
                <w:szCs w:val="24"/>
                <w:rtl/>
              </w:rPr>
              <w:t xml:space="preserve"> </w:t>
            </w:r>
            <w:r w:rsidRPr="002B76A7">
              <w:rPr>
                <w:rFonts w:ascii="David" w:hAnsi="David" w:hint="eastAsia"/>
                <w:szCs w:val="24"/>
                <w:rtl/>
              </w:rPr>
              <w:t>הרלבנטיים</w:t>
            </w:r>
            <w:r w:rsidRPr="002B76A7">
              <w:rPr>
                <w:rFonts w:ascii="David" w:hAnsi="David"/>
                <w:szCs w:val="24"/>
                <w:rtl/>
              </w:rPr>
              <w:t xml:space="preserve">  </w:t>
            </w:r>
            <w:r w:rsidRPr="002B76A7">
              <w:rPr>
                <w:rFonts w:ascii="David" w:hAnsi="David" w:hint="eastAsia"/>
                <w:szCs w:val="24"/>
                <w:rtl/>
              </w:rPr>
              <w:t>גם</w:t>
            </w:r>
            <w:r w:rsidRPr="002B76A7">
              <w:rPr>
                <w:rFonts w:ascii="David" w:hAnsi="David"/>
                <w:szCs w:val="24"/>
                <w:rtl/>
              </w:rPr>
              <w:t xml:space="preserve"> </w:t>
            </w:r>
            <w:r w:rsidRPr="002B76A7">
              <w:rPr>
                <w:rFonts w:ascii="David" w:hAnsi="David" w:hint="eastAsia"/>
                <w:szCs w:val="24"/>
                <w:rtl/>
              </w:rPr>
              <w:t>על</w:t>
            </w:r>
            <w:r w:rsidRPr="002B76A7">
              <w:rPr>
                <w:rFonts w:ascii="David" w:hAnsi="David"/>
                <w:szCs w:val="24"/>
                <w:rtl/>
              </w:rPr>
              <w:t xml:space="preserve"> </w:t>
            </w:r>
            <w:r w:rsidRPr="002B76A7">
              <w:rPr>
                <w:rFonts w:ascii="David" w:hAnsi="David" w:hint="eastAsia"/>
                <w:szCs w:val="24"/>
                <w:rtl/>
              </w:rPr>
              <w:t>מי</w:t>
            </w:r>
            <w:r w:rsidRPr="002B76A7">
              <w:rPr>
                <w:rFonts w:ascii="David" w:hAnsi="David"/>
                <w:szCs w:val="24"/>
                <w:rtl/>
              </w:rPr>
              <w:t xml:space="preserve"> </w:t>
            </w:r>
            <w:r w:rsidRPr="002B76A7">
              <w:rPr>
                <w:rFonts w:ascii="David" w:hAnsi="David" w:hint="eastAsia"/>
                <w:szCs w:val="24"/>
                <w:rtl/>
              </w:rPr>
              <w:t>שחתם</w:t>
            </w:r>
            <w:r w:rsidRPr="002B76A7">
              <w:rPr>
                <w:rFonts w:ascii="David" w:hAnsi="David"/>
                <w:szCs w:val="24"/>
                <w:rtl/>
              </w:rPr>
              <w:t xml:space="preserve"> </w:t>
            </w:r>
            <w:r w:rsidRPr="002B76A7">
              <w:rPr>
                <w:rFonts w:ascii="David" w:hAnsi="David" w:hint="eastAsia"/>
                <w:szCs w:val="24"/>
                <w:rtl/>
              </w:rPr>
              <w:t>או</w:t>
            </w:r>
            <w:r w:rsidRPr="002B76A7">
              <w:rPr>
                <w:rFonts w:ascii="David" w:hAnsi="David"/>
                <w:szCs w:val="24"/>
                <w:rtl/>
              </w:rPr>
              <w:t xml:space="preserve"> </w:t>
            </w:r>
            <w:r w:rsidRPr="002B76A7">
              <w:rPr>
                <w:rFonts w:ascii="David" w:hAnsi="David" w:hint="eastAsia"/>
                <w:szCs w:val="24"/>
                <w:rtl/>
              </w:rPr>
              <w:t>יחתום</w:t>
            </w:r>
            <w:r w:rsidRPr="002B76A7">
              <w:rPr>
                <w:rFonts w:ascii="David" w:hAnsi="David"/>
                <w:szCs w:val="24"/>
                <w:rtl/>
              </w:rPr>
              <w:t xml:space="preserve"> </w:t>
            </w:r>
            <w:r w:rsidRPr="002B76A7">
              <w:rPr>
                <w:rFonts w:ascii="David" w:hAnsi="David" w:hint="eastAsia"/>
                <w:szCs w:val="24"/>
                <w:rtl/>
              </w:rPr>
              <w:t>על</w:t>
            </w:r>
            <w:r w:rsidRPr="002B76A7">
              <w:rPr>
                <w:rFonts w:ascii="David" w:hAnsi="David"/>
                <w:szCs w:val="24"/>
                <w:rtl/>
              </w:rPr>
              <w:t xml:space="preserve"> </w:t>
            </w:r>
            <w:r w:rsidRPr="002B76A7">
              <w:rPr>
                <w:rFonts w:ascii="David" w:hAnsi="David" w:hint="eastAsia"/>
                <w:szCs w:val="24"/>
                <w:rtl/>
              </w:rPr>
              <w:t>הסכם</w:t>
            </w:r>
            <w:r w:rsidRPr="002B76A7">
              <w:rPr>
                <w:rFonts w:ascii="David" w:hAnsi="David"/>
                <w:szCs w:val="24"/>
                <w:rtl/>
              </w:rPr>
              <w:t xml:space="preserve"> </w:t>
            </w:r>
            <w:r w:rsidRPr="002B76A7">
              <w:rPr>
                <w:rFonts w:ascii="David" w:hAnsi="David" w:hint="eastAsia"/>
                <w:szCs w:val="24"/>
                <w:rtl/>
              </w:rPr>
              <w:t>חלוקה</w:t>
            </w:r>
            <w:r w:rsidRPr="002B76A7">
              <w:rPr>
                <w:rFonts w:ascii="David" w:hAnsi="David"/>
                <w:szCs w:val="24"/>
                <w:rtl/>
              </w:rPr>
              <w:t xml:space="preserve"> </w:t>
            </w:r>
            <w:r w:rsidRPr="002B76A7">
              <w:rPr>
                <w:rFonts w:ascii="David" w:hAnsi="David" w:hint="eastAsia"/>
                <w:szCs w:val="24"/>
                <w:rtl/>
              </w:rPr>
              <w:t>לאחר</w:t>
            </w:r>
            <w:r w:rsidRPr="002B76A7">
              <w:rPr>
                <w:rFonts w:ascii="David" w:hAnsi="David"/>
                <w:szCs w:val="24"/>
                <w:rtl/>
              </w:rPr>
              <w:t xml:space="preserve"> </w:t>
            </w:r>
            <w:r w:rsidRPr="002B76A7">
              <w:rPr>
                <w:rFonts w:ascii="David" w:hAnsi="David" w:hint="eastAsia"/>
                <w:szCs w:val="24"/>
                <w:rtl/>
              </w:rPr>
              <w:t>ה</w:t>
            </w:r>
            <w:r w:rsidRPr="002B76A7">
              <w:rPr>
                <w:rFonts w:ascii="David" w:hAnsi="David"/>
                <w:szCs w:val="24"/>
                <w:rtl/>
              </w:rPr>
              <w:t xml:space="preserve">-6.5.2017 </w:t>
            </w:r>
            <w:r w:rsidRPr="002B76A7">
              <w:rPr>
                <w:rFonts w:ascii="David" w:hAnsi="David" w:hint="eastAsia"/>
                <w:szCs w:val="24"/>
                <w:rtl/>
              </w:rPr>
              <w:t>גם</w:t>
            </w:r>
            <w:r w:rsidRPr="002B76A7">
              <w:rPr>
                <w:rFonts w:ascii="David" w:hAnsi="David"/>
                <w:szCs w:val="24"/>
                <w:rtl/>
              </w:rPr>
              <w:t xml:space="preserve"> </w:t>
            </w:r>
            <w:r w:rsidRPr="002B76A7">
              <w:rPr>
                <w:rFonts w:ascii="David" w:hAnsi="David" w:hint="eastAsia"/>
                <w:szCs w:val="24"/>
                <w:rtl/>
              </w:rPr>
              <w:t>אם</w:t>
            </w:r>
            <w:r w:rsidRPr="002B76A7">
              <w:rPr>
                <w:rFonts w:ascii="David" w:hAnsi="David"/>
                <w:szCs w:val="24"/>
                <w:rtl/>
              </w:rPr>
              <w:t xml:space="preserve"> </w:t>
            </w:r>
            <w:r w:rsidRPr="002B76A7">
              <w:rPr>
                <w:rFonts w:ascii="David" w:hAnsi="David" w:hint="eastAsia"/>
                <w:szCs w:val="24"/>
                <w:rtl/>
              </w:rPr>
              <w:t>לא</w:t>
            </w:r>
            <w:r w:rsidRPr="002B76A7">
              <w:rPr>
                <w:rFonts w:ascii="David" w:hAnsi="David"/>
                <w:szCs w:val="24"/>
                <w:rtl/>
              </w:rPr>
              <w:t xml:space="preserve"> </w:t>
            </w:r>
            <w:r w:rsidRPr="002B76A7">
              <w:rPr>
                <w:rFonts w:ascii="David" w:hAnsi="David" w:hint="eastAsia"/>
                <w:szCs w:val="24"/>
                <w:rtl/>
              </w:rPr>
              <w:t>בוטל</w:t>
            </w:r>
            <w:r w:rsidRPr="002B76A7">
              <w:rPr>
                <w:rFonts w:ascii="David" w:hAnsi="David"/>
                <w:szCs w:val="24"/>
                <w:rtl/>
              </w:rPr>
              <w:t xml:space="preserve"> </w:t>
            </w:r>
            <w:r w:rsidRPr="002B76A7">
              <w:rPr>
                <w:rFonts w:ascii="David" w:hAnsi="David" w:hint="eastAsia"/>
                <w:szCs w:val="24"/>
                <w:rtl/>
              </w:rPr>
              <w:t>הסכם</w:t>
            </w:r>
            <w:r w:rsidRPr="002B76A7">
              <w:rPr>
                <w:rFonts w:ascii="David" w:hAnsi="David"/>
                <w:szCs w:val="24"/>
                <w:rtl/>
              </w:rPr>
              <w:t xml:space="preserve"> </w:t>
            </w:r>
            <w:r w:rsidRPr="002B76A7">
              <w:rPr>
                <w:rFonts w:ascii="David" w:hAnsi="David" w:hint="eastAsia"/>
                <w:szCs w:val="24"/>
                <w:rtl/>
              </w:rPr>
              <w:t>חלוקה</w:t>
            </w:r>
            <w:r w:rsidRPr="002B76A7">
              <w:rPr>
                <w:rFonts w:ascii="David" w:hAnsi="David"/>
                <w:szCs w:val="24"/>
                <w:rtl/>
              </w:rPr>
              <w:t xml:space="preserve"> </w:t>
            </w:r>
            <w:r w:rsidRPr="002B76A7">
              <w:rPr>
                <w:rFonts w:ascii="David" w:hAnsi="David" w:hint="eastAsia"/>
                <w:szCs w:val="24"/>
                <w:rtl/>
              </w:rPr>
              <w:t>ישן</w:t>
            </w:r>
            <w:r w:rsidRPr="002B76A7">
              <w:rPr>
                <w:rFonts w:ascii="David" w:hAnsi="David"/>
                <w:szCs w:val="24"/>
                <w:rtl/>
              </w:rPr>
              <w:t>.</w:t>
            </w:r>
          </w:p>
          <w:p w14:paraId="069D6650" w14:textId="77777777" w:rsidR="000D7A04" w:rsidRDefault="000D7A04" w:rsidP="000D7A04">
            <w:pPr>
              <w:pStyle w:val="ae"/>
              <w:numPr>
                <w:ilvl w:val="0"/>
                <w:numId w:val="6"/>
              </w:numPr>
              <w:spacing w:line="360" w:lineRule="auto"/>
              <w:jc w:val="both"/>
              <w:rPr>
                <w:rFonts w:ascii="David" w:hAnsi="David"/>
                <w:szCs w:val="24"/>
              </w:rPr>
            </w:pPr>
            <w:r w:rsidRPr="002B76A7">
              <w:rPr>
                <w:rFonts w:ascii="David" w:hAnsi="David" w:hint="eastAsia"/>
                <w:szCs w:val="24"/>
                <w:rtl/>
              </w:rPr>
              <w:t>יבוטל</w:t>
            </w:r>
            <w:r w:rsidRPr="002B76A7">
              <w:rPr>
                <w:rFonts w:ascii="David" w:hAnsi="David"/>
                <w:szCs w:val="24"/>
                <w:rtl/>
              </w:rPr>
              <w:t xml:space="preserve"> </w:t>
            </w:r>
            <w:r w:rsidRPr="002B76A7">
              <w:rPr>
                <w:rFonts w:ascii="David" w:hAnsi="David" w:hint="eastAsia"/>
                <w:szCs w:val="24"/>
                <w:rtl/>
              </w:rPr>
              <w:t>התנאי</w:t>
            </w:r>
            <w:r w:rsidRPr="002B76A7">
              <w:rPr>
                <w:rFonts w:ascii="David" w:hAnsi="David"/>
                <w:szCs w:val="24"/>
                <w:rtl/>
              </w:rPr>
              <w:t xml:space="preserve"> </w:t>
            </w:r>
            <w:r w:rsidRPr="002B76A7">
              <w:rPr>
                <w:rFonts w:ascii="David" w:hAnsi="David" w:hint="eastAsia"/>
                <w:szCs w:val="24"/>
                <w:rtl/>
              </w:rPr>
              <w:t>שנקבע</w:t>
            </w:r>
            <w:r w:rsidRPr="002B76A7">
              <w:rPr>
                <w:rFonts w:ascii="David" w:hAnsi="David"/>
                <w:szCs w:val="24"/>
                <w:rtl/>
              </w:rPr>
              <w:t xml:space="preserve"> </w:t>
            </w:r>
            <w:r w:rsidRPr="002B76A7">
              <w:rPr>
                <w:rFonts w:ascii="David" w:hAnsi="David" w:hint="eastAsia"/>
                <w:szCs w:val="24"/>
                <w:rtl/>
              </w:rPr>
              <w:t>בסעיף</w:t>
            </w:r>
            <w:r w:rsidRPr="002B76A7">
              <w:rPr>
                <w:rFonts w:ascii="David" w:hAnsi="David"/>
                <w:szCs w:val="24"/>
                <w:rtl/>
              </w:rPr>
              <w:t xml:space="preserve"> 4.2.5 למסמכי המכרז הקודמים </w:t>
            </w:r>
            <w:r w:rsidRPr="002B76A7">
              <w:rPr>
                <w:rFonts w:ascii="David" w:hAnsi="David" w:hint="eastAsia"/>
                <w:szCs w:val="24"/>
                <w:rtl/>
              </w:rPr>
              <w:t>לפיו</w:t>
            </w:r>
            <w:r w:rsidRPr="002B76A7">
              <w:rPr>
                <w:rFonts w:ascii="David" w:hAnsi="David"/>
                <w:szCs w:val="24"/>
                <w:rtl/>
              </w:rPr>
              <w:t xml:space="preserve"> "בעל הרישיון לא חתם לפני יום 6.5.2107 על הסכם חלוקה עם צרכן כלשהו (גם אם אינו מפורט בבקשה) בגין מקטע החלוקה, כולו או חלקו, שלגביו הוגשה הבקשה;" </w:t>
            </w:r>
            <w:r w:rsidRPr="002B76A7">
              <w:rPr>
                <w:rFonts w:ascii="David" w:hAnsi="David" w:hint="eastAsia"/>
                <w:szCs w:val="24"/>
                <w:rtl/>
              </w:rPr>
              <w:t>במקומו</w:t>
            </w:r>
            <w:r w:rsidRPr="002B76A7">
              <w:rPr>
                <w:rFonts w:ascii="David" w:hAnsi="David"/>
                <w:szCs w:val="24"/>
                <w:rtl/>
              </w:rPr>
              <w:t>:</w:t>
            </w:r>
            <w:r>
              <w:rPr>
                <w:rFonts w:ascii="David" w:hAnsi="David" w:hint="cs"/>
                <w:szCs w:val="24"/>
                <w:rtl/>
              </w:rPr>
              <w:t xml:space="preserve"> </w:t>
            </w:r>
          </w:p>
          <w:p w14:paraId="5F6ABE89" w14:textId="77777777" w:rsidR="000D7A04" w:rsidRPr="002B76A7" w:rsidRDefault="000D7A04" w:rsidP="000D7A04">
            <w:pPr>
              <w:pStyle w:val="ae"/>
              <w:numPr>
                <w:ilvl w:val="0"/>
                <w:numId w:val="7"/>
              </w:numPr>
              <w:spacing w:line="360" w:lineRule="auto"/>
              <w:jc w:val="both"/>
              <w:rPr>
                <w:rFonts w:ascii="David" w:hAnsi="David"/>
                <w:szCs w:val="24"/>
                <w:rtl/>
              </w:rPr>
            </w:pPr>
            <w:r w:rsidRPr="002B76A7">
              <w:rPr>
                <w:rFonts w:ascii="David" w:hAnsi="David" w:hint="eastAsia"/>
                <w:szCs w:val="24"/>
                <w:rtl/>
              </w:rPr>
              <w:t>נקבע</w:t>
            </w:r>
            <w:r w:rsidRPr="002B76A7">
              <w:rPr>
                <w:rFonts w:ascii="David" w:hAnsi="David"/>
                <w:szCs w:val="24"/>
                <w:rtl/>
              </w:rPr>
              <w:t xml:space="preserve"> התנאי כי לגבי כל המקטעים המבוקשים בבקשה זו נכון ליום 18.11.2018, טרם התחילו </w:t>
            </w:r>
            <w:r w:rsidRPr="002B76A7">
              <w:rPr>
                <w:rFonts w:ascii="David" w:hAnsi="David" w:hint="eastAsia"/>
                <w:szCs w:val="24"/>
                <w:rtl/>
              </w:rPr>
              <w:t>בביצוע</w:t>
            </w:r>
            <w:r w:rsidRPr="002B76A7">
              <w:rPr>
                <w:rFonts w:ascii="David" w:hAnsi="David"/>
                <w:szCs w:val="24"/>
                <w:rtl/>
              </w:rPr>
              <w:t xml:space="preserve"> </w:t>
            </w:r>
            <w:r w:rsidRPr="002B76A7">
              <w:rPr>
                <w:rFonts w:ascii="David" w:hAnsi="David" w:hint="eastAsia"/>
                <w:szCs w:val="24"/>
                <w:rtl/>
              </w:rPr>
              <w:t>חלק</w:t>
            </w:r>
            <w:r w:rsidRPr="002B76A7">
              <w:rPr>
                <w:rFonts w:ascii="David" w:hAnsi="David"/>
                <w:szCs w:val="24"/>
                <w:rtl/>
              </w:rPr>
              <w:t xml:space="preserve"> </w:t>
            </w:r>
            <w:r w:rsidRPr="002B76A7">
              <w:rPr>
                <w:rFonts w:ascii="David" w:hAnsi="David" w:hint="eastAsia"/>
                <w:szCs w:val="24"/>
                <w:rtl/>
              </w:rPr>
              <w:t>או</w:t>
            </w:r>
            <w:r w:rsidRPr="002B76A7">
              <w:rPr>
                <w:rFonts w:ascii="David" w:hAnsi="David"/>
                <w:szCs w:val="24"/>
                <w:rtl/>
              </w:rPr>
              <w:t xml:space="preserve"> </w:t>
            </w:r>
            <w:r w:rsidRPr="002B76A7">
              <w:rPr>
                <w:rFonts w:ascii="David" w:hAnsi="David" w:hint="eastAsia"/>
                <w:szCs w:val="24"/>
                <w:rtl/>
              </w:rPr>
              <w:t>כל</w:t>
            </w:r>
            <w:r w:rsidRPr="002B76A7">
              <w:rPr>
                <w:rFonts w:ascii="David" w:hAnsi="David"/>
                <w:szCs w:val="24"/>
                <w:rtl/>
              </w:rPr>
              <w:t xml:space="preserve"> </w:t>
            </w:r>
            <w:r w:rsidRPr="002B76A7">
              <w:rPr>
                <w:rFonts w:ascii="David" w:hAnsi="David" w:hint="eastAsia"/>
                <w:szCs w:val="24"/>
                <w:rtl/>
              </w:rPr>
              <w:t>הפעולות</w:t>
            </w:r>
            <w:r w:rsidRPr="002B76A7">
              <w:rPr>
                <w:rFonts w:ascii="David" w:hAnsi="David"/>
                <w:szCs w:val="24"/>
                <w:rtl/>
              </w:rPr>
              <w:t xml:space="preserve"> </w:t>
            </w:r>
            <w:r w:rsidRPr="002B76A7">
              <w:rPr>
                <w:rFonts w:ascii="David" w:hAnsi="David" w:hint="eastAsia"/>
                <w:szCs w:val="24"/>
                <w:rtl/>
              </w:rPr>
              <w:t>המנויות</w:t>
            </w:r>
            <w:r w:rsidRPr="002B76A7">
              <w:rPr>
                <w:rFonts w:ascii="David" w:hAnsi="David"/>
                <w:szCs w:val="24"/>
                <w:rtl/>
              </w:rPr>
              <w:t xml:space="preserve"> </w:t>
            </w:r>
            <w:r w:rsidRPr="002B76A7">
              <w:rPr>
                <w:rFonts w:ascii="David" w:hAnsi="David" w:hint="eastAsia"/>
                <w:szCs w:val="24"/>
                <w:rtl/>
              </w:rPr>
              <w:t>בסעיפים</w:t>
            </w:r>
            <w:r w:rsidRPr="002B76A7">
              <w:rPr>
                <w:rFonts w:ascii="David" w:hAnsi="David"/>
                <w:szCs w:val="24"/>
                <w:rtl/>
              </w:rPr>
              <w:t xml:space="preserve"> קטנים 2 </w:t>
            </w:r>
            <w:r w:rsidRPr="002B76A7">
              <w:rPr>
                <w:rFonts w:ascii="David" w:hAnsi="David" w:hint="eastAsia"/>
                <w:szCs w:val="24"/>
                <w:rtl/>
              </w:rPr>
              <w:t>עד</w:t>
            </w:r>
            <w:r w:rsidRPr="002B76A7">
              <w:rPr>
                <w:rFonts w:ascii="David" w:hAnsi="David"/>
                <w:szCs w:val="24"/>
                <w:rtl/>
              </w:rPr>
              <w:t xml:space="preserve"> 8 </w:t>
            </w:r>
            <w:r w:rsidRPr="002B76A7">
              <w:rPr>
                <w:rFonts w:ascii="David" w:hAnsi="David" w:hint="eastAsia"/>
                <w:szCs w:val="24"/>
                <w:rtl/>
              </w:rPr>
              <w:t>שבסעיף</w:t>
            </w:r>
            <w:r w:rsidRPr="002B76A7">
              <w:rPr>
                <w:rFonts w:ascii="David" w:hAnsi="David"/>
                <w:szCs w:val="24"/>
                <w:rtl/>
              </w:rPr>
              <w:t xml:space="preserve"> 49 </w:t>
            </w:r>
            <w:r w:rsidRPr="002B76A7">
              <w:rPr>
                <w:rFonts w:ascii="David" w:hAnsi="David" w:hint="eastAsia"/>
                <w:szCs w:val="24"/>
                <w:rtl/>
              </w:rPr>
              <w:t>לחוק</w:t>
            </w:r>
            <w:r w:rsidRPr="002B76A7">
              <w:rPr>
                <w:rFonts w:ascii="David" w:hAnsi="David"/>
                <w:szCs w:val="24"/>
                <w:rtl/>
              </w:rPr>
              <w:t xml:space="preserve"> </w:t>
            </w:r>
            <w:r w:rsidRPr="002B76A7">
              <w:rPr>
                <w:rFonts w:ascii="David" w:hAnsi="David" w:hint="eastAsia"/>
                <w:szCs w:val="24"/>
                <w:rtl/>
              </w:rPr>
              <w:t>משק</w:t>
            </w:r>
            <w:r w:rsidRPr="002B76A7">
              <w:rPr>
                <w:rFonts w:ascii="David" w:hAnsi="David"/>
                <w:szCs w:val="24"/>
                <w:rtl/>
              </w:rPr>
              <w:t xml:space="preserve"> </w:t>
            </w:r>
            <w:r w:rsidRPr="002B76A7">
              <w:rPr>
                <w:rFonts w:ascii="David" w:hAnsi="David" w:hint="eastAsia"/>
                <w:szCs w:val="24"/>
                <w:rtl/>
              </w:rPr>
              <w:t>הגז</w:t>
            </w:r>
            <w:r w:rsidRPr="002B76A7">
              <w:rPr>
                <w:rFonts w:ascii="David" w:hAnsi="David"/>
                <w:szCs w:val="24"/>
                <w:rtl/>
              </w:rPr>
              <w:t xml:space="preserve"> </w:t>
            </w:r>
            <w:r w:rsidRPr="002B76A7">
              <w:rPr>
                <w:rFonts w:ascii="David" w:hAnsi="David" w:hint="eastAsia"/>
                <w:szCs w:val="24"/>
                <w:rtl/>
              </w:rPr>
              <w:t>הטבעי</w:t>
            </w:r>
            <w:r w:rsidRPr="002B76A7">
              <w:rPr>
                <w:rFonts w:ascii="David" w:hAnsi="David"/>
                <w:szCs w:val="24"/>
                <w:rtl/>
              </w:rPr>
              <w:t>.</w:t>
            </w:r>
            <w:r>
              <w:rPr>
                <w:rFonts w:ascii="David" w:hAnsi="David" w:hint="cs"/>
                <w:szCs w:val="24"/>
                <w:rtl/>
              </w:rPr>
              <w:t xml:space="preserve"> </w:t>
            </w:r>
            <w:r w:rsidRPr="002B76A7">
              <w:rPr>
                <w:rFonts w:ascii="David" w:hAnsi="David" w:hint="eastAsia"/>
                <w:szCs w:val="24"/>
                <w:rtl/>
              </w:rPr>
              <w:t>בהתאמה</w:t>
            </w:r>
            <w:r w:rsidRPr="002B76A7">
              <w:rPr>
                <w:rFonts w:ascii="David" w:hAnsi="David"/>
                <w:szCs w:val="24"/>
                <w:rtl/>
              </w:rPr>
              <w:t xml:space="preserve"> </w:t>
            </w:r>
            <w:r w:rsidRPr="002B76A7">
              <w:rPr>
                <w:rFonts w:ascii="David" w:hAnsi="David" w:hint="eastAsia"/>
                <w:szCs w:val="24"/>
                <w:rtl/>
              </w:rPr>
              <w:t>יידרש</w:t>
            </w:r>
            <w:r w:rsidRPr="002B76A7">
              <w:rPr>
                <w:rFonts w:ascii="David" w:hAnsi="David"/>
                <w:szCs w:val="24"/>
                <w:rtl/>
              </w:rPr>
              <w:t xml:space="preserve"> </w:t>
            </w:r>
            <w:r w:rsidRPr="002B76A7">
              <w:rPr>
                <w:rFonts w:ascii="David" w:hAnsi="David" w:hint="eastAsia"/>
                <w:szCs w:val="24"/>
                <w:rtl/>
              </w:rPr>
              <w:t>בעל</w:t>
            </w:r>
            <w:r w:rsidRPr="002B76A7">
              <w:rPr>
                <w:rFonts w:ascii="David" w:hAnsi="David"/>
                <w:szCs w:val="24"/>
                <w:rtl/>
              </w:rPr>
              <w:t xml:space="preserve"> </w:t>
            </w:r>
            <w:r w:rsidRPr="002B76A7">
              <w:rPr>
                <w:rFonts w:ascii="David" w:hAnsi="David" w:hint="eastAsia"/>
                <w:szCs w:val="24"/>
                <w:rtl/>
              </w:rPr>
              <w:t>הרישיון</w:t>
            </w:r>
            <w:r w:rsidRPr="002B76A7">
              <w:rPr>
                <w:rFonts w:ascii="David" w:hAnsi="David"/>
                <w:szCs w:val="24"/>
                <w:rtl/>
              </w:rPr>
              <w:t xml:space="preserve"> </w:t>
            </w:r>
            <w:r w:rsidRPr="002B76A7">
              <w:rPr>
                <w:rFonts w:ascii="David" w:hAnsi="David" w:hint="eastAsia"/>
                <w:szCs w:val="24"/>
                <w:rtl/>
              </w:rPr>
              <w:t>להצהיר</w:t>
            </w:r>
            <w:r w:rsidRPr="002B76A7">
              <w:rPr>
                <w:rFonts w:ascii="David" w:hAnsi="David"/>
                <w:szCs w:val="24"/>
                <w:rtl/>
              </w:rPr>
              <w:t xml:space="preserve"> </w:t>
            </w:r>
            <w:r w:rsidRPr="002B76A7">
              <w:rPr>
                <w:rFonts w:ascii="David" w:hAnsi="David" w:hint="eastAsia"/>
                <w:szCs w:val="24"/>
                <w:rtl/>
              </w:rPr>
              <w:t>במסגרת</w:t>
            </w:r>
            <w:r w:rsidRPr="002B76A7">
              <w:rPr>
                <w:rFonts w:ascii="David" w:hAnsi="David"/>
                <w:szCs w:val="24"/>
                <w:rtl/>
              </w:rPr>
              <w:t xml:space="preserve"> </w:t>
            </w:r>
            <w:r w:rsidRPr="002B76A7">
              <w:rPr>
                <w:rFonts w:ascii="David" w:hAnsi="David" w:hint="eastAsia"/>
                <w:szCs w:val="24"/>
                <w:rtl/>
              </w:rPr>
              <w:t>הבקשה</w:t>
            </w:r>
            <w:r w:rsidRPr="002B76A7">
              <w:rPr>
                <w:rFonts w:ascii="David" w:hAnsi="David"/>
                <w:szCs w:val="24"/>
                <w:rtl/>
              </w:rPr>
              <w:t xml:space="preserve"> שתוגש לפי נספח א' למסמכי המכרז </w:t>
            </w:r>
            <w:r w:rsidRPr="002B76A7">
              <w:rPr>
                <w:rFonts w:ascii="David" w:hAnsi="David" w:hint="eastAsia"/>
                <w:szCs w:val="24"/>
                <w:rtl/>
              </w:rPr>
              <w:t>את</w:t>
            </w:r>
            <w:r w:rsidRPr="002B76A7">
              <w:rPr>
                <w:rFonts w:ascii="David" w:hAnsi="David"/>
                <w:szCs w:val="24"/>
                <w:rtl/>
              </w:rPr>
              <w:t xml:space="preserve"> </w:t>
            </w:r>
            <w:r w:rsidRPr="002B76A7">
              <w:rPr>
                <w:rFonts w:ascii="David" w:hAnsi="David" w:hint="eastAsia"/>
                <w:szCs w:val="24"/>
                <w:rtl/>
              </w:rPr>
              <w:t>האמור</w:t>
            </w:r>
            <w:r w:rsidRPr="002B76A7">
              <w:rPr>
                <w:rFonts w:ascii="David" w:hAnsi="David"/>
                <w:szCs w:val="24"/>
                <w:rtl/>
              </w:rPr>
              <w:t>.</w:t>
            </w:r>
          </w:p>
          <w:p w14:paraId="1D1C85CF" w14:textId="77777777" w:rsidR="000D7A04" w:rsidRPr="002B76A7" w:rsidRDefault="000D7A04" w:rsidP="00EC1671">
            <w:pPr>
              <w:spacing w:line="360" w:lineRule="auto"/>
              <w:jc w:val="both"/>
              <w:rPr>
                <w:rFonts w:ascii="David" w:hAnsi="David"/>
                <w:szCs w:val="24"/>
              </w:rPr>
            </w:pPr>
          </w:p>
          <w:p w14:paraId="6A460939" w14:textId="77777777" w:rsidR="000D7A04" w:rsidRPr="002B76A7" w:rsidRDefault="000D7A04" w:rsidP="000D7A04">
            <w:pPr>
              <w:pStyle w:val="ae"/>
              <w:numPr>
                <w:ilvl w:val="0"/>
                <w:numId w:val="7"/>
              </w:numPr>
              <w:spacing w:line="360" w:lineRule="auto"/>
              <w:jc w:val="both"/>
              <w:rPr>
                <w:rFonts w:ascii="David" w:hAnsi="David"/>
                <w:szCs w:val="24"/>
              </w:rPr>
            </w:pPr>
            <w:r w:rsidRPr="002B76A7">
              <w:rPr>
                <w:rFonts w:ascii="David" w:hAnsi="David" w:hint="eastAsia"/>
                <w:szCs w:val="24"/>
                <w:rtl/>
              </w:rPr>
              <w:t>מימוש</w:t>
            </w:r>
            <w:r w:rsidRPr="002B76A7">
              <w:rPr>
                <w:rFonts w:ascii="David" w:hAnsi="David"/>
                <w:szCs w:val="24"/>
                <w:rtl/>
              </w:rPr>
              <w:t xml:space="preserve"> </w:t>
            </w:r>
            <w:r w:rsidRPr="002B76A7">
              <w:rPr>
                <w:rFonts w:ascii="David" w:hAnsi="David" w:hint="eastAsia"/>
                <w:szCs w:val="24"/>
                <w:rtl/>
              </w:rPr>
              <w:t>הזכייה</w:t>
            </w:r>
            <w:r w:rsidRPr="002B76A7">
              <w:rPr>
                <w:rFonts w:ascii="David" w:hAnsi="David"/>
                <w:szCs w:val="24"/>
                <w:rtl/>
              </w:rPr>
              <w:t xml:space="preserve"> לגבי מקטע </w:t>
            </w:r>
            <w:r w:rsidRPr="002B76A7">
              <w:rPr>
                <w:rFonts w:ascii="David" w:hAnsi="David" w:hint="eastAsia"/>
                <w:szCs w:val="24"/>
                <w:rtl/>
              </w:rPr>
              <w:t>מסוים</w:t>
            </w:r>
            <w:r w:rsidRPr="002B76A7">
              <w:rPr>
                <w:rFonts w:ascii="David" w:hAnsi="David"/>
                <w:szCs w:val="24"/>
                <w:rtl/>
              </w:rPr>
              <w:t xml:space="preserve"> יהיה בכפוף לצירוף הצהרה  בנוסח המפורט בנספח </w:t>
            </w:r>
            <w:r w:rsidRPr="002B76A7">
              <w:rPr>
                <w:rFonts w:ascii="David" w:hAnsi="David" w:hint="eastAsia"/>
                <w:szCs w:val="24"/>
                <w:rtl/>
              </w:rPr>
              <w:t>ז</w:t>
            </w:r>
            <w:r w:rsidRPr="002B76A7">
              <w:rPr>
                <w:rFonts w:ascii="David" w:hAnsi="David"/>
                <w:szCs w:val="24"/>
                <w:rtl/>
              </w:rPr>
              <w:t xml:space="preserve">' </w:t>
            </w:r>
            <w:r w:rsidRPr="002B76A7">
              <w:rPr>
                <w:rFonts w:ascii="David" w:hAnsi="David" w:hint="eastAsia"/>
                <w:szCs w:val="24"/>
                <w:rtl/>
              </w:rPr>
              <w:t>במסגרתה</w:t>
            </w:r>
            <w:r w:rsidRPr="002B76A7">
              <w:rPr>
                <w:rFonts w:ascii="David" w:hAnsi="David"/>
                <w:szCs w:val="24"/>
                <w:rtl/>
              </w:rPr>
              <w:t xml:space="preserve"> </w:t>
            </w:r>
            <w:r w:rsidRPr="002B76A7">
              <w:rPr>
                <w:rFonts w:ascii="David" w:hAnsi="David" w:hint="eastAsia"/>
                <w:szCs w:val="24"/>
                <w:rtl/>
              </w:rPr>
              <w:t>יידרשו</w:t>
            </w:r>
            <w:r w:rsidRPr="002B76A7">
              <w:rPr>
                <w:rFonts w:ascii="David" w:hAnsi="David"/>
                <w:szCs w:val="24"/>
                <w:rtl/>
              </w:rPr>
              <w:t xml:space="preserve"> </w:t>
            </w:r>
            <w:r w:rsidRPr="002B76A7">
              <w:rPr>
                <w:rFonts w:ascii="David" w:hAnsi="David" w:hint="eastAsia"/>
                <w:szCs w:val="24"/>
                <w:rtl/>
              </w:rPr>
              <w:t>הצרכן</w:t>
            </w:r>
            <w:r w:rsidRPr="002B76A7">
              <w:rPr>
                <w:rFonts w:ascii="David" w:hAnsi="David"/>
                <w:szCs w:val="24"/>
                <w:rtl/>
              </w:rPr>
              <w:t xml:space="preserve"> </w:t>
            </w:r>
            <w:r w:rsidRPr="002B76A7">
              <w:rPr>
                <w:rFonts w:ascii="David" w:hAnsi="David" w:hint="eastAsia"/>
                <w:szCs w:val="24"/>
                <w:rtl/>
              </w:rPr>
              <w:t>ובעל</w:t>
            </w:r>
            <w:r w:rsidRPr="002B76A7">
              <w:rPr>
                <w:rFonts w:ascii="David" w:hAnsi="David"/>
                <w:szCs w:val="24"/>
                <w:rtl/>
              </w:rPr>
              <w:t xml:space="preserve"> </w:t>
            </w:r>
            <w:r w:rsidRPr="002B76A7">
              <w:rPr>
                <w:rFonts w:ascii="David" w:hAnsi="David" w:hint="eastAsia"/>
                <w:szCs w:val="24"/>
                <w:rtl/>
              </w:rPr>
              <w:t>הרישיון</w:t>
            </w:r>
            <w:r w:rsidRPr="002B76A7">
              <w:rPr>
                <w:rFonts w:ascii="David" w:hAnsi="David"/>
                <w:szCs w:val="24"/>
                <w:rtl/>
              </w:rPr>
              <w:t xml:space="preserve"> </w:t>
            </w:r>
            <w:r w:rsidRPr="002B76A7">
              <w:rPr>
                <w:rFonts w:ascii="David" w:hAnsi="David" w:hint="eastAsia"/>
                <w:szCs w:val="24"/>
                <w:rtl/>
              </w:rPr>
              <w:t>להצהיר</w:t>
            </w:r>
            <w:r w:rsidRPr="002B76A7">
              <w:rPr>
                <w:rFonts w:ascii="David" w:hAnsi="David"/>
                <w:szCs w:val="24"/>
                <w:rtl/>
              </w:rPr>
              <w:t xml:space="preserve"> האם שולם סכום כלשהו כדמי צרכן מרוחק. על הצרכן ובעל הרישיון לחתום </w:t>
            </w:r>
            <w:r w:rsidRPr="002B76A7">
              <w:rPr>
                <w:rFonts w:ascii="David" w:hAnsi="David" w:hint="eastAsia"/>
                <w:szCs w:val="24"/>
                <w:rtl/>
              </w:rPr>
              <w:t>על</w:t>
            </w:r>
            <w:r w:rsidRPr="002B76A7">
              <w:rPr>
                <w:rFonts w:ascii="David" w:hAnsi="David"/>
                <w:szCs w:val="24"/>
                <w:rtl/>
              </w:rPr>
              <w:t xml:space="preserve"> </w:t>
            </w:r>
            <w:r w:rsidRPr="002B76A7">
              <w:rPr>
                <w:rFonts w:ascii="David" w:hAnsi="David" w:hint="eastAsia"/>
                <w:szCs w:val="24"/>
                <w:rtl/>
              </w:rPr>
              <w:t>ההצהרה</w:t>
            </w:r>
            <w:r w:rsidRPr="002B76A7">
              <w:rPr>
                <w:rFonts w:ascii="David" w:hAnsi="David"/>
                <w:szCs w:val="24"/>
                <w:rtl/>
              </w:rPr>
              <w:t xml:space="preserve"> </w:t>
            </w:r>
            <w:r w:rsidRPr="002B76A7">
              <w:rPr>
                <w:rFonts w:ascii="David" w:hAnsi="David" w:hint="eastAsia"/>
                <w:szCs w:val="24"/>
                <w:rtl/>
              </w:rPr>
              <w:t>זו</w:t>
            </w:r>
            <w:r w:rsidRPr="002B76A7">
              <w:rPr>
                <w:rFonts w:ascii="David" w:hAnsi="David"/>
                <w:szCs w:val="24"/>
                <w:rtl/>
              </w:rPr>
              <w:t>.</w:t>
            </w:r>
          </w:p>
          <w:p w14:paraId="1BDCC44C" w14:textId="77777777" w:rsidR="000D7A04" w:rsidRPr="002B76A7" w:rsidRDefault="000D7A04" w:rsidP="00EC1671">
            <w:pPr>
              <w:spacing w:line="360" w:lineRule="auto"/>
              <w:jc w:val="both"/>
              <w:rPr>
                <w:rFonts w:ascii="David" w:hAnsi="David"/>
                <w:szCs w:val="24"/>
              </w:rPr>
            </w:pPr>
          </w:p>
          <w:p w14:paraId="7F63635C" w14:textId="77777777" w:rsidR="000D7A04" w:rsidRPr="002B76A7" w:rsidRDefault="000D7A04" w:rsidP="000D7A04">
            <w:pPr>
              <w:pStyle w:val="ae"/>
              <w:numPr>
                <w:ilvl w:val="0"/>
                <w:numId w:val="6"/>
              </w:numPr>
              <w:spacing w:line="360" w:lineRule="auto"/>
              <w:jc w:val="both"/>
              <w:rPr>
                <w:rFonts w:ascii="David" w:hAnsi="David"/>
                <w:szCs w:val="24"/>
                <w:rtl/>
              </w:rPr>
            </w:pPr>
            <w:r w:rsidRPr="002B76A7">
              <w:rPr>
                <w:rFonts w:ascii="David" w:hAnsi="David"/>
                <w:szCs w:val="24"/>
                <w:rtl/>
              </w:rPr>
              <w:t xml:space="preserve">בהתאם להוראות סעיף 8.5 למכרז, ככל שבעל הרישיון קיבל </w:t>
            </w:r>
            <w:r w:rsidRPr="002B76A7">
              <w:rPr>
                <w:rFonts w:ascii="David" w:hAnsi="David" w:hint="eastAsia"/>
                <w:szCs w:val="24"/>
                <w:rtl/>
              </w:rPr>
              <w:t>מהצרכן</w:t>
            </w:r>
            <w:r w:rsidRPr="002B76A7">
              <w:rPr>
                <w:rFonts w:ascii="David" w:hAnsi="David"/>
                <w:szCs w:val="24"/>
                <w:rtl/>
              </w:rPr>
              <w:t xml:space="preserve"> </w:t>
            </w:r>
            <w:r w:rsidRPr="002B76A7">
              <w:rPr>
                <w:rFonts w:ascii="David" w:hAnsi="David" w:hint="eastAsia"/>
                <w:szCs w:val="24"/>
                <w:rtl/>
              </w:rPr>
              <w:t>תשלום</w:t>
            </w:r>
            <w:r w:rsidRPr="002B76A7">
              <w:rPr>
                <w:rFonts w:ascii="David" w:hAnsi="David"/>
                <w:szCs w:val="24"/>
                <w:rtl/>
              </w:rPr>
              <w:t xml:space="preserve"> בגין חיבור צרכן מרוחק, הסכום יקוזז מהמענק </w:t>
            </w:r>
            <w:r w:rsidRPr="002B76A7">
              <w:rPr>
                <w:rFonts w:ascii="David" w:hAnsi="David" w:hint="eastAsia"/>
                <w:szCs w:val="24"/>
                <w:rtl/>
              </w:rPr>
              <w:t>שאושר</w:t>
            </w:r>
            <w:r w:rsidRPr="002B76A7">
              <w:rPr>
                <w:rFonts w:ascii="David" w:hAnsi="David"/>
                <w:szCs w:val="24"/>
                <w:rtl/>
              </w:rPr>
              <w:t xml:space="preserve"> לפי מכרז זה.</w:t>
            </w:r>
            <w:r w:rsidRPr="002B76A7">
              <w:rPr>
                <w:rFonts w:ascii="David" w:hAnsi="David" w:hint="cs"/>
                <w:szCs w:val="24"/>
                <w:rtl/>
              </w:rPr>
              <w:t xml:space="preserve"> </w:t>
            </w:r>
          </w:p>
          <w:p w14:paraId="22E7B2C4" w14:textId="77777777" w:rsidR="000D7A04" w:rsidRPr="00566312" w:rsidRDefault="000D7A04" w:rsidP="00EC1671">
            <w:pPr>
              <w:tabs>
                <w:tab w:val="left" w:pos="8617"/>
              </w:tabs>
              <w:spacing w:line="360" w:lineRule="auto"/>
              <w:jc w:val="both"/>
              <w:rPr>
                <w:rFonts w:ascii="David" w:hAnsi="David"/>
                <w:szCs w:val="24"/>
                <w:highlight w:val="yellow"/>
                <w:rtl/>
              </w:rPr>
            </w:pPr>
          </w:p>
        </w:tc>
      </w:tr>
      <w:tr w:rsidR="000D7A04" w:rsidRPr="00566312" w14:paraId="29DB1F07" w14:textId="77777777" w:rsidTr="00EC1671">
        <w:trPr>
          <w:trHeight w:val="1558"/>
        </w:trPr>
        <w:tc>
          <w:tcPr>
            <w:tcW w:w="1152" w:type="dxa"/>
          </w:tcPr>
          <w:p w14:paraId="7D842477" w14:textId="77777777" w:rsidR="000D7A04" w:rsidRPr="00566312" w:rsidRDefault="000D7A04" w:rsidP="00EC1671">
            <w:pPr>
              <w:tabs>
                <w:tab w:val="left" w:pos="8617"/>
              </w:tabs>
              <w:spacing w:line="360" w:lineRule="auto"/>
              <w:rPr>
                <w:rFonts w:ascii="David" w:hAnsi="David"/>
                <w:szCs w:val="24"/>
                <w:rtl/>
              </w:rPr>
            </w:pPr>
            <w:r w:rsidRPr="00566312">
              <w:rPr>
                <w:rFonts w:ascii="David" w:hAnsi="David"/>
                <w:szCs w:val="24"/>
                <w:rtl/>
              </w:rPr>
              <w:t>10.</w:t>
            </w:r>
          </w:p>
        </w:tc>
        <w:tc>
          <w:tcPr>
            <w:tcW w:w="1116" w:type="dxa"/>
          </w:tcPr>
          <w:p w14:paraId="5177DCFE" w14:textId="77777777" w:rsidR="000D7A04" w:rsidRPr="00566312" w:rsidRDefault="000D7A04" w:rsidP="00EC1671">
            <w:pPr>
              <w:tabs>
                <w:tab w:val="left" w:pos="8617"/>
              </w:tabs>
              <w:spacing w:line="360" w:lineRule="auto"/>
              <w:rPr>
                <w:rFonts w:ascii="David" w:hAnsi="David"/>
                <w:szCs w:val="24"/>
                <w:rtl/>
              </w:rPr>
            </w:pPr>
          </w:p>
        </w:tc>
        <w:tc>
          <w:tcPr>
            <w:tcW w:w="1030" w:type="dxa"/>
          </w:tcPr>
          <w:p w14:paraId="7E65EE89" w14:textId="77777777" w:rsidR="000D7A04" w:rsidRPr="00566312" w:rsidRDefault="000D7A04" w:rsidP="00EC1671">
            <w:pPr>
              <w:tabs>
                <w:tab w:val="left" w:pos="8617"/>
              </w:tabs>
              <w:spacing w:line="360" w:lineRule="auto"/>
              <w:rPr>
                <w:rFonts w:ascii="David" w:hAnsi="David"/>
                <w:szCs w:val="24"/>
                <w:rtl/>
              </w:rPr>
            </w:pPr>
          </w:p>
        </w:tc>
        <w:tc>
          <w:tcPr>
            <w:tcW w:w="5361" w:type="dxa"/>
          </w:tcPr>
          <w:p w14:paraId="277CFE0C" w14:textId="77777777" w:rsidR="000D7A04" w:rsidRPr="00566312" w:rsidRDefault="000D7A04" w:rsidP="00EC1671">
            <w:pPr>
              <w:spacing w:line="480" w:lineRule="auto"/>
              <w:jc w:val="both"/>
              <w:rPr>
                <w:rFonts w:ascii="David" w:hAnsi="David"/>
                <w:szCs w:val="24"/>
                <w:rtl/>
              </w:rPr>
            </w:pPr>
            <w:r w:rsidRPr="00566312">
              <w:rPr>
                <w:rFonts w:ascii="David" w:hAnsi="David"/>
                <w:szCs w:val="24"/>
                <w:rtl/>
              </w:rPr>
              <w:t xml:space="preserve">במסגרת מכרז קודם למתן מענקים לחיבור צרכנים מרוחקים (מכרז מס' 127/17) הוגשו הצעות מטעם </w:t>
            </w:r>
            <w:r w:rsidRPr="00566312">
              <w:rPr>
                <w:rFonts w:ascii="David" w:hAnsi="David"/>
                <w:szCs w:val="24"/>
                <w:highlight w:val="black"/>
                <w:rtl/>
              </w:rPr>
              <w:t>רתם גז טבעי</w:t>
            </w:r>
            <w:r w:rsidRPr="00566312">
              <w:rPr>
                <w:rFonts w:ascii="David" w:hAnsi="David"/>
                <w:szCs w:val="24"/>
                <w:rtl/>
              </w:rPr>
              <w:t xml:space="preserve"> אך מרבית ההצעות נפסלו. הנימוק לפסילת ההצעות אשר הופיע בהודעות, היה כי הצרכנים בגינם הוגשו הבקשות אינם צרכנים מרוחקים בהתאם לרישיון החלוקה שכן המרחק בינם לבין רשת החלוקה אינו גדול דיו.</w:t>
            </w:r>
          </w:p>
          <w:p w14:paraId="012AEB01" w14:textId="77777777" w:rsidR="000D7A04" w:rsidRPr="00566312" w:rsidRDefault="000D7A04" w:rsidP="00EC1671">
            <w:pPr>
              <w:pStyle w:val="1"/>
              <w:spacing w:line="480" w:lineRule="auto"/>
              <w:jc w:val="both"/>
              <w:rPr>
                <w:rFonts w:ascii="David" w:hAnsi="David"/>
                <w:b w:val="0"/>
                <w:bCs w:val="0"/>
                <w:szCs w:val="24"/>
                <w:rtl/>
              </w:rPr>
            </w:pPr>
            <w:r w:rsidRPr="00566312">
              <w:rPr>
                <w:rFonts w:ascii="David" w:hAnsi="David"/>
                <w:b w:val="0"/>
                <w:bCs w:val="0"/>
                <w:szCs w:val="24"/>
                <w:rtl/>
              </w:rPr>
              <w:t xml:space="preserve">הפרשנות שהוצגה כנימוק לפסילת בקשות </w:t>
            </w:r>
            <w:r w:rsidRPr="00566312">
              <w:rPr>
                <w:rFonts w:ascii="David" w:hAnsi="David"/>
                <w:b w:val="0"/>
                <w:bCs w:val="0"/>
                <w:szCs w:val="24"/>
                <w:highlight w:val="black"/>
                <w:rtl/>
              </w:rPr>
              <w:t>רתם</w:t>
            </w:r>
            <w:r w:rsidRPr="00566312">
              <w:rPr>
                <w:rFonts w:ascii="David" w:hAnsi="David"/>
                <w:b w:val="0"/>
                <w:bCs w:val="0"/>
                <w:szCs w:val="24"/>
                <w:rtl/>
              </w:rPr>
              <w:t xml:space="preserve"> באותו מועד לא היתה נכונה ואינה סבירה ואנו פנינו אליכם בנדון ואולם מתברר כי במכרז הנוכחי לא שונו התנאים, עניין המוליד את החשש הסביר כי גם הצעות שיוגשו במסגרת מכרז זה יידחו על הסף שלא כדין. בנסיבות אלו מתבקשת</w:t>
            </w:r>
          </w:p>
          <w:p w14:paraId="66863444" w14:textId="77777777" w:rsidR="000D7A04" w:rsidRPr="00566312" w:rsidRDefault="000D7A04" w:rsidP="00EC1671">
            <w:pPr>
              <w:pStyle w:val="1"/>
              <w:spacing w:line="480" w:lineRule="auto"/>
              <w:jc w:val="both"/>
              <w:rPr>
                <w:rFonts w:ascii="David" w:hAnsi="David"/>
                <w:b w:val="0"/>
                <w:bCs w:val="0"/>
                <w:szCs w:val="24"/>
                <w:rtl/>
              </w:rPr>
            </w:pPr>
            <w:r w:rsidRPr="00566312">
              <w:rPr>
                <w:rFonts w:ascii="David" w:hAnsi="David"/>
                <w:b w:val="0"/>
                <w:bCs w:val="0"/>
                <w:szCs w:val="24"/>
                <w:rtl/>
              </w:rPr>
              <w:t>הוועדה לתקן את המכרז.</w:t>
            </w:r>
          </w:p>
          <w:p w14:paraId="459009AB" w14:textId="77777777" w:rsidR="000D7A04" w:rsidRPr="00566312" w:rsidRDefault="000D7A04" w:rsidP="00EC1671">
            <w:pPr>
              <w:pStyle w:val="1"/>
              <w:spacing w:line="480" w:lineRule="auto"/>
              <w:jc w:val="both"/>
              <w:rPr>
                <w:rFonts w:ascii="David" w:hAnsi="David"/>
                <w:b w:val="0"/>
                <w:bCs w:val="0"/>
                <w:szCs w:val="24"/>
              </w:rPr>
            </w:pPr>
            <w:r w:rsidRPr="00566312">
              <w:rPr>
                <w:rFonts w:ascii="David" w:hAnsi="David"/>
                <w:b w:val="0"/>
                <w:bCs w:val="0"/>
                <w:szCs w:val="24"/>
                <w:rtl/>
              </w:rPr>
              <w:t>יובהר: בסעיף 46.2 לרישיון החברה נקבע כי אופן חישוב המרחק בין צרכן מרוחק לרשת החלוקה ייקבע על בסיס המרחק האווירי בין מונה הצרכן לבין הנקודה הקרובה על רשת החלוקה אותה היה על בעל הרישיון להקים בהתאם להצעת החברה וללוחות הזמנים. עוד נקבע כי כל תחום תתי האזורים ייחשבו כתחום אשר בו היה על בעל הרישיון להקים רשת חלוקה וכי צרכן הנמצא במסגרת התחום האמור לא ייחשב צרכן מרוחק.</w:t>
            </w:r>
          </w:p>
          <w:p w14:paraId="41CFB8D1" w14:textId="77777777" w:rsidR="000D7A04" w:rsidRPr="00566312" w:rsidRDefault="000D7A04" w:rsidP="00EC1671">
            <w:pPr>
              <w:pStyle w:val="1"/>
              <w:spacing w:line="480" w:lineRule="auto"/>
              <w:jc w:val="both"/>
              <w:rPr>
                <w:rFonts w:ascii="David" w:hAnsi="David"/>
                <w:b w:val="0"/>
                <w:bCs w:val="0"/>
                <w:szCs w:val="24"/>
              </w:rPr>
            </w:pPr>
            <w:r w:rsidRPr="00566312">
              <w:rPr>
                <w:rFonts w:ascii="David" w:hAnsi="David"/>
                <w:b w:val="0"/>
                <w:bCs w:val="0"/>
                <w:szCs w:val="24"/>
                <w:rtl/>
              </w:rPr>
              <w:t>להבנתנו, משמעות הוראת הסעיף הינה כי צרכנים הנמצאים מחוץ לתתי האזורים הינם צרכנים מרוחקים. אם מצאה הרשות לקבוע במפורש כי צרכן בתוך תת אזור אינו צרכן מרוחק, אין לנו להסיק כי צרכנים מחוץ לתחום תת האזור הינו צרכן מרוחק. יש לזכור כי החברה לא הציעה את חיבור תתי האזורים וכי ענין זה נכפה אליה כחלק מתנאי הרישיון.</w:t>
            </w:r>
          </w:p>
          <w:p w14:paraId="58F1FFA4" w14:textId="77777777" w:rsidR="000D7A04" w:rsidRPr="00566312" w:rsidRDefault="000D7A04" w:rsidP="00EC1671">
            <w:pPr>
              <w:pStyle w:val="1"/>
              <w:spacing w:line="480" w:lineRule="auto"/>
              <w:jc w:val="both"/>
              <w:rPr>
                <w:rFonts w:ascii="David" w:hAnsi="David"/>
                <w:b w:val="0"/>
                <w:bCs w:val="0"/>
                <w:szCs w:val="24"/>
              </w:rPr>
            </w:pPr>
            <w:r w:rsidRPr="00566312">
              <w:rPr>
                <w:rFonts w:ascii="David" w:hAnsi="David"/>
                <w:b w:val="0"/>
                <w:bCs w:val="0"/>
                <w:szCs w:val="24"/>
                <w:rtl/>
              </w:rPr>
              <w:t>הדבר גם מתיישב עם ההיגיון. פרשנות אחרת, אותה הפרשנות המשתמעת מהחלטת ועדת המכרזים בעבר, קובעת למעשה שקיים אזור שלם ברדיוס של 4 קילומטרים מחוץ לתתי האזורים שגם בו כלל הצרכנים אינם צרכנים מרוחקים(!). בכך נוצרה למעשה הרחבה מלאכותית בלתי סבירה של הוראות סעיף 46.2. זוהי פרשנות בלתי סבירה מבחינה מקצועית של הרישיון אשר כמובן עלולה למנוע חיבור צרכנים עתידיים.</w:t>
            </w:r>
          </w:p>
          <w:p w14:paraId="56E92EFD" w14:textId="77777777" w:rsidR="000D7A04" w:rsidRPr="00566312" w:rsidRDefault="000D7A04" w:rsidP="00EC1671">
            <w:pPr>
              <w:pStyle w:val="1"/>
              <w:spacing w:line="480" w:lineRule="auto"/>
              <w:jc w:val="both"/>
              <w:rPr>
                <w:rFonts w:ascii="David" w:hAnsi="David"/>
                <w:b w:val="0"/>
                <w:bCs w:val="0"/>
                <w:szCs w:val="24"/>
              </w:rPr>
            </w:pPr>
            <w:r w:rsidRPr="00566312">
              <w:rPr>
                <w:rFonts w:ascii="David" w:hAnsi="David"/>
                <w:b w:val="0"/>
                <w:bCs w:val="0"/>
                <w:szCs w:val="24"/>
                <w:rtl/>
              </w:rPr>
              <w:t>בנוסף, גם מבחינה כלכלית זו אינה פרשנות סבירה. צריך לזכור שעלויות הקמת רשת החלוקה באזורים בנויים בצפיפות (מרבית תתי האזורים באזור הרישיון של רתם וכן השטח המקיף אותם הינם אזורים בנויים בצפיפות) גבוהות באופן משמעותי מהמחיר למטר הנדרש עבור חיבור צרכן מרוחק. יצירת שטח חדש סביב כל תת אזור בו יהיה בעל הרישיון צריך להקים על חשבונו, ללא גביית תעריף צרכן מרוחק מהצרכן עתידה להמיט נזק כלכלי בלתי אפשרי על החברה.</w:t>
            </w:r>
          </w:p>
          <w:p w14:paraId="4ABC75C7" w14:textId="77777777" w:rsidR="000D7A04" w:rsidRPr="00566312" w:rsidRDefault="000D7A04" w:rsidP="00EC1671">
            <w:pPr>
              <w:spacing w:line="480" w:lineRule="auto"/>
              <w:jc w:val="both"/>
              <w:rPr>
                <w:rFonts w:ascii="David" w:hAnsi="David"/>
                <w:szCs w:val="24"/>
                <w:rtl/>
              </w:rPr>
            </w:pPr>
            <w:r w:rsidRPr="00566312">
              <w:rPr>
                <w:rFonts w:ascii="David" w:hAnsi="David"/>
                <w:szCs w:val="24"/>
                <w:rtl/>
              </w:rPr>
              <w:t>לאור האמור, הן מהבחינה המשפטית והן מהבחינה הכלכלית, מתבקשת ועדת המכרזים במסגרת המכרז הנוכחי, לעדכן את תנאי המכרז ובפרט את הגדרת המונח "צרכן מרוחק" במכרז ו/או את ההוראות הנגזרות ממנה בסעיפים הרלוונטיים) כך שיובהר במסגרת המכרז כי כל צרכן המצוי מחוץ לתתי האזורים באזור הרישיון של רתם ייחשב כצרכן מרוחק וניתן יהיה להגיש בקשה לקבלת מענק בגין חיבורו לרשת החלוקה.</w:t>
            </w:r>
          </w:p>
          <w:p w14:paraId="3AFF3347" w14:textId="77777777" w:rsidR="000D7A04" w:rsidRPr="00566312" w:rsidRDefault="000D7A04" w:rsidP="00EC1671">
            <w:pPr>
              <w:pStyle w:val="1"/>
              <w:spacing w:line="480" w:lineRule="auto"/>
              <w:jc w:val="both"/>
              <w:rPr>
                <w:rFonts w:ascii="David" w:hAnsi="David"/>
                <w:b w:val="0"/>
                <w:bCs w:val="0"/>
                <w:szCs w:val="24"/>
              </w:rPr>
            </w:pPr>
            <w:r w:rsidRPr="00566312">
              <w:rPr>
                <w:rFonts w:ascii="David" w:hAnsi="David"/>
                <w:b w:val="0"/>
                <w:bCs w:val="0"/>
                <w:szCs w:val="24"/>
                <w:rtl/>
              </w:rPr>
              <w:t>דחיית בקשתנו זו צפויה להביא לפגיעה באפשרותם של צרכנים פוטנציאליים להתחבר לרשת החלוקה ולפגיעה בפיתוח הרשת.</w:t>
            </w:r>
          </w:p>
          <w:p w14:paraId="6B5EF86B" w14:textId="77777777" w:rsidR="000D7A04" w:rsidRPr="00566312" w:rsidRDefault="000D7A04" w:rsidP="00EC1671">
            <w:pPr>
              <w:pStyle w:val="1"/>
              <w:spacing w:line="480" w:lineRule="auto"/>
              <w:jc w:val="both"/>
              <w:rPr>
                <w:rFonts w:ascii="David" w:hAnsi="David"/>
                <w:b w:val="0"/>
                <w:bCs w:val="0"/>
                <w:szCs w:val="24"/>
              </w:rPr>
            </w:pPr>
            <w:r w:rsidRPr="00566312">
              <w:rPr>
                <w:rFonts w:ascii="David" w:hAnsi="David"/>
                <w:b w:val="0"/>
                <w:bCs w:val="0"/>
                <w:szCs w:val="24"/>
                <w:rtl/>
              </w:rPr>
              <w:t>בנסיבות העניין, וככל שלא תשתכנעו מהאמור במכתבנו, נבקש להציג את עמדתנו בעל פה בפני ועדת המכרזים טרם פרסום התשובות להבהרות במסגרת המכרז.</w:t>
            </w:r>
          </w:p>
          <w:p w14:paraId="356D019B" w14:textId="77777777" w:rsidR="000D7A04" w:rsidRPr="00566312" w:rsidRDefault="000D7A04" w:rsidP="00EC1671">
            <w:pPr>
              <w:spacing w:line="360" w:lineRule="auto"/>
              <w:rPr>
                <w:rFonts w:ascii="David" w:hAnsi="David"/>
                <w:szCs w:val="24"/>
                <w:rtl/>
              </w:rPr>
            </w:pPr>
          </w:p>
        </w:tc>
        <w:tc>
          <w:tcPr>
            <w:tcW w:w="4678" w:type="dxa"/>
          </w:tcPr>
          <w:p w14:paraId="31E35DF8" w14:textId="77777777" w:rsidR="000D7A04" w:rsidRPr="00566312" w:rsidRDefault="000D7A04" w:rsidP="00EC1671">
            <w:pPr>
              <w:tabs>
                <w:tab w:val="left" w:pos="8617"/>
              </w:tabs>
              <w:spacing w:line="360" w:lineRule="auto"/>
              <w:jc w:val="both"/>
              <w:rPr>
                <w:rFonts w:ascii="David" w:hAnsi="David"/>
                <w:szCs w:val="24"/>
                <w:rtl/>
              </w:rPr>
            </w:pPr>
            <w:r w:rsidRPr="00566312">
              <w:rPr>
                <w:rFonts w:ascii="David" w:hAnsi="David"/>
                <w:szCs w:val="24"/>
                <w:rtl/>
              </w:rPr>
              <w:t>טענת החברה אינה מתקבלת.</w:t>
            </w:r>
          </w:p>
          <w:p w14:paraId="7A98B195" w14:textId="77777777" w:rsidR="000D7A04" w:rsidRPr="00566312" w:rsidRDefault="000D7A04" w:rsidP="00EC1671">
            <w:pPr>
              <w:tabs>
                <w:tab w:val="left" w:pos="8617"/>
              </w:tabs>
              <w:spacing w:line="360" w:lineRule="auto"/>
              <w:jc w:val="both"/>
              <w:rPr>
                <w:rFonts w:ascii="David" w:hAnsi="David"/>
                <w:szCs w:val="24"/>
                <w:rtl/>
              </w:rPr>
            </w:pPr>
          </w:p>
          <w:p w14:paraId="4EE18DB3" w14:textId="77777777" w:rsidR="000D7A04" w:rsidRPr="00566312" w:rsidRDefault="000D7A04" w:rsidP="00EC1671">
            <w:pPr>
              <w:tabs>
                <w:tab w:val="left" w:pos="8617"/>
              </w:tabs>
              <w:spacing w:line="360" w:lineRule="auto"/>
              <w:jc w:val="both"/>
              <w:rPr>
                <w:rFonts w:ascii="David" w:hAnsi="David"/>
                <w:szCs w:val="24"/>
                <w:rtl/>
              </w:rPr>
            </w:pPr>
          </w:p>
          <w:p w14:paraId="3E05ED82" w14:textId="77777777" w:rsidR="000D7A04" w:rsidRPr="00566312" w:rsidRDefault="000D7A04" w:rsidP="00EC1671">
            <w:pPr>
              <w:tabs>
                <w:tab w:val="left" w:pos="8617"/>
              </w:tabs>
              <w:spacing w:line="360" w:lineRule="auto"/>
              <w:rPr>
                <w:rFonts w:ascii="David" w:hAnsi="David"/>
                <w:szCs w:val="24"/>
                <w:rtl/>
              </w:rPr>
            </w:pPr>
          </w:p>
          <w:p w14:paraId="04757A22" w14:textId="77777777" w:rsidR="000D7A04" w:rsidRPr="00566312" w:rsidRDefault="000D7A04" w:rsidP="00EC1671">
            <w:pPr>
              <w:tabs>
                <w:tab w:val="left" w:pos="8617"/>
              </w:tabs>
              <w:spacing w:line="360" w:lineRule="auto"/>
              <w:rPr>
                <w:rFonts w:ascii="David" w:hAnsi="David"/>
                <w:szCs w:val="24"/>
                <w:rtl/>
              </w:rPr>
            </w:pPr>
          </w:p>
        </w:tc>
      </w:tr>
    </w:tbl>
    <w:p w14:paraId="56421D9E" w14:textId="77777777" w:rsidR="000D7A04" w:rsidRDefault="000D7A04" w:rsidP="000D7A04">
      <w:pPr>
        <w:pStyle w:val="ac"/>
        <w:jc w:val="both"/>
        <w:rPr>
          <w:rFonts w:ascii="David" w:hAnsi="David" w:cs="David"/>
          <w:b w:val="0"/>
          <w:bCs w:val="0"/>
          <w:sz w:val="24"/>
          <w:szCs w:val="24"/>
          <w:rtl/>
        </w:rPr>
      </w:pPr>
    </w:p>
    <w:p w14:paraId="541000E3" w14:textId="239F974A" w:rsidR="00EB34BE" w:rsidRDefault="00EB34BE" w:rsidP="000D7A04">
      <w:pPr>
        <w:pStyle w:val="2"/>
        <w:ind w:left="453" w:hanging="426"/>
        <w:jc w:val="left"/>
        <w:rPr>
          <w:u w:val="single"/>
          <w:rtl/>
        </w:rPr>
      </w:pPr>
    </w:p>
    <w:sectPr w:rsidR="00EB34BE" w:rsidSect="00EB34BE">
      <w:headerReference w:type="even" r:id="rId12"/>
      <w:headerReference w:type="default" r:id="rId13"/>
      <w:footerReference w:type="default" r:id="rId14"/>
      <w:headerReference w:type="first" r:id="rId15"/>
      <w:footerReference w:type="first" r:id="rId16"/>
      <w:pgSz w:w="16838" w:h="11906" w:orient="landscape" w:code="9"/>
      <w:pgMar w:top="709" w:right="1440" w:bottom="1474" w:left="1134"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7DF63D8B"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32F5AC4" w:rsidR="00B32229" w:rsidRPr="000517C4" w:rsidRDefault="005365B2" w:rsidP="005365B2">
    <w:pPr>
      <w:pBdr>
        <w:top w:val="single" w:sz="6" w:space="1" w:color="auto"/>
      </w:pBdr>
      <w:tabs>
        <w:tab w:val="left" w:pos="1579"/>
      </w:tabs>
      <w:rPr>
        <w:sz w:val="26"/>
        <w:rtl/>
      </w:rPr>
    </w:pPr>
    <w:r>
      <w:rPr>
        <w:sz w:val="26"/>
        <w:rtl/>
      </w:rPr>
      <w:tab/>
    </w: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939EA" w:rsidRPr="00A939EA">
          <w:rPr>
            <w:rFonts w:cs="Calibri"/>
            <w:b/>
            <w:bCs/>
            <w:noProof/>
            <w:rtl/>
            <w:lang w:val="he-IL"/>
          </w:rPr>
          <w:t>3</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A939EA"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602310674" r:id="rId2"/>
      </w:object>
    </w:r>
    <w:r w:rsidR="00B32229">
      <w:rPr>
        <w:rFonts w:hint="cs"/>
        <w:b/>
        <w:bCs/>
        <w:noProof/>
        <w:szCs w:val="40"/>
        <w:rtl/>
      </w:rPr>
      <w:t xml:space="preserve"> </w:t>
    </w:r>
  </w:p>
  <w:p w14:paraId="11CDE79A" w14:textId="086883A9"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10042532" w:rsidR="00B32229" w:rsidRDefault="00B32229" w:rsidP="00A147EA">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A9246C1"/>
    <w:multiLevelType w:val="hybridMultilevel"/>
    <w:tmpl w:val="4CEEC066"/>
    <w:lvl w:ilvl="0" w:tplc="A4BC68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B2517D6"/>
    <w:multiLevelType w:val="hybridMultilevel"/>
    <w:tmpl w:val="3348C07E"/>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 w15:restartNumberingAfterBreak="0">
    <w:nsid w:val="4DAA3E02"/>
    <w:multiLevelType w:val="hybridMultilevel"/>
    <w:tmpl w:val="4FF84254"/>
    <w:lvl w:ilvl="0" w:tplc="01C64CCA">
      <w:start w:val="1"/>
      <w:numFmt w:val="hebrew1"/>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6"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0"/>
  </w:num>
  <w:num w:numId="4">
    <w:abstractNumId w:val="2"/>
  </w:num>
  <w:num w:numId="5">
    <w:abstractNumId w:val="1"/>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C47C5"/>
    <w:rsid w:val="000D7A04"/>
    <w:rsid w:val="000F0C8E"/>
    <w:rsid w:val="00131922"/>
    <w:rsid w:val="00144716"/>
    <w:rsid w:val="00146B99"/>
    <w:rsid w:val="001617C9"/>
    <w:rsid w:val="0017733A"/>
    <w:rsid w:val="001858F8"/>
    <w:rsid w:val="001A0660"/>
    <w:rsid w:val="001A0FEB"/>
    <w:rsid w:val="001B2F89"/>
    <w:rsid w:val="001E6F0E"/>
    <w:rsid w:val="0021366F"/>
    <w:rsid w:val="00222968"/>
    <w:rsid w:val="00223E43"/>
    <w:rsid w:val="0022754A"/>
    <w:rsid w:val="00290354"/>
    <w:rsid w:val="002A5741"/>
    <w:rsid w:val="002D3504"/>
    <w:rsid w:val="002F3FC0"/>
    <w:rsid w:val="00311B81"/>
    <w:rsid w:val="00321798"/>
    <w:rsid w:val="00340E66"/>
    <w:rsid w:val="00390E55"/>
    <w:rsid w:val="003A30BD"/>
    <w:rsid w:val="003F4EE4"/>
    <w:rsid w:val="00446615"/>
    <w:rsid w:val="004507AE"/>
    <w:rsid w:val="00457790"/>
    <w:rsid w:val="00463F58"/>
    <w:rsid w:val="0047091B"/>
    <w:rsid w:val="004B49E7"/>
    <w:rsid w:val="004B5ED3"/>
    <w:rsid w:val="004E70E4"/>
    <w:rsid w:val="00524880"/>
    <w:rsid w:val="00533FCA"/>
    <w:rsid w:val="005365B2"/>
    <w:rsid w:val="0054114E"/>
    <w:rsid w:val="0054428A"/>
    <w:rsid w:val="00572795"/>
    <w:rsid w:val="00581672"/>
    <w:rsid w:val="00591B94"/>
    <w:rsid w:val="005A0DC2"/>
    <w:rsid w:val="005D5135"/>
    <w:rsid w:val="005E5E77"/>
    <w:rsid w:val="00610303"/>
    <w:rsid w:val="00611DDB"/>
    <w:rsid w:val="00624679"/>
    <w:rsid w:val="006426A9"/>
    <w:rsid w:val="006500F2"/>
    <w:rsid w:val="00660C52"/>
    <w:rsid w:val="006B7F74"/>
    <w:rsid w:val="006C2C32"/>
    <w:rsid w:val="006D1D4C"/>
    <w:rsid w:val="006E72C5"/>
    <w:rsid w:val="00712673"/>
    <w:rsid w:val="0071514A"/>
    <w:rsid w:val="00721721"/>
    <w:rsid w:val="00740D98"/>
    <w:rsid w:val="00771F8F"/>
    <w:rsid w:val="0078446F"/>
    <w:rsid w:val="007849A9"/>
    <w:rsid w:val="0078568E"/>
    <w:rsid w:val="007A76DF"/>
    <w:rsid w:val="007B6C4F"/>
    <w:rsid w:val="00802BA6"/>
    <w:rsid w:val="00811390"/>
    <w:rsid w:val="00817153"/>
    <w:rsid w:val="00824DD5"/>
    <w:rsid w:val="00861DDB"/>
    <w:rsid w:val="008675F8"/>
    <w:rsid w:val="008B766D"/>
    <w:rsid w:val="008C2B14"/>
    <w:rsid w:val="008C3408"/>
    <w:rsid w:val="008F164D"/>
    <w:rsid w:val="00900B65"/>
    <w:rsid w:val="00901041"/>
    <w:rsid w:val="00911C83"/>
    <w:rsid w:val="00924837"/>
    <w:rsid w:val="00941814"/>
    <w:rsid w:val="00956911"/>
    <w:rsid w:val="009619DC"/>
    <w:rsid w:val="00964B15"/>
    <w:rsid w:val="00974A41"/>
    <w:rsid w:val="009C1E95"/>
    <w:rsid w:val="009F15A0"/>
    <w:rsid w:val="009F25EB"/>
    <w:rsid w:val="00A0165F"/>
    <w:rsid w:val="00A107E7"/>
    <w:rsid w:val="00A147EA"/>
    <w:rsid w:val="00A63F7A"/>
    <w:rsid w:val="00A939EA"/>
    <w:rsid w:val="00A94E1B"/>
    <w:rsid w:val="00A96C51"/>
    <w:rsid w:val="00A977B7"/>
    <w:rsid w:val="00AD6F36"/>
    <w:rsid w:val="00AE59BD"/>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67236"/>
    <w:rsid w:val="00C80AD2"/>
    <w:rsid w:val="00C80CDB"/>
    <w:rsid w:val="00C91F7F"/>
    <w:rsid w:val="00CA2BA0"/>
    <w:rsid w:val="00CB33E5"/>
    <w:rsid w:val="00D2513A"/>
    <w:rsid w:val="00D35E0D"/>
    <w:rsid w:val="00D3749A"/>
    <w:rsid w:val="00D37641"/>
    <w:rsid w:val="00D63F61"/>
    <w:rsid w:val="00D732B0"/>
    <w:rsid w:val="00DD792B"/>
    <w:rsid w:val="00DE05FC"/>
    <w:rsid w:val="00DE7F26"/>
    <w:rsid w:val="00E001A4"/>
    <w:rsid w:val="00E12FE5"/>
    <w:rsid w:val="00E30699"/>
    <w:rsid w:val="00E6227F"/>
    <w:rsid w:val="00E90583"/>
    <w:rsid w:val="00EA4FBF"/>
    <w:rsid w:val="00EB319A"/>
    <w:rsid w:val="00EB34BE"/>
    <w:rsid w:val="00EC6CEF"/>
    <w:rsid w:val="00ED37B2"/>
    <w:rsid w:val="00EF0767"/>
    <w:rsid w:val="00F076B3"/>
    <w:rsid w:val="00F14C94"/>
    <w:rsid w:val="00F41029"/>
    <w:rsid w:val="00F41F84"/>
    <w:rsid w:val="00F42907"/>
    <w:rsid w:val="00F549D7"/>
    <w:rsid w:val="00F5586C"/>
    <w:rsid w:val="00F63432"/>
    <w:rsid w:val="00F84FA6"/>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character" w:customStyle="1" w:styleId="20">
    <w:name w:val="כותרת 2 תו"/>
    <w:basedOn w:val="a0"/>
    <w:link w:val="2"/>
    <w:rsid w:val="00A147EA"/>
    <w:rPr>
      <w:rFonts w:cs="David"/>
      <w:b/>
      <w:bCs/>
      <w:sz w:val="24"/>
      <w:szCs w:val="26"/>
    </w:rPr>
  </w:style>
  <w:style w:type="table" w:customStyle="1" w:styleId="10">
    <w:name w:val="טקסט טבלה תחתונה1"/>
    <w:basedOn w:val="a1"/>
    <w:next w:val="ab"/>
    <w:rsid w:val="00A147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rsid w:val="00A147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הנגשה כותרת משנה"/>
    <w:basedOn w:val="a"/>
    <w:link w:val="ad"/>
    <w:qFormat/>
    <w:rsid w:val="00EB34BE"/>
    <w:pPr>
      <w:spacing w:line="360" w:lineRule="auto"/>
      <w:jc w:val="center"/>
    </w:pPr>
    <w:rPr>
      <w:rFonts w:ascii="Tahoma" w:hAnsi="Tahoma" w:cstheme="minorBidi"/>
      <w:b/>
      <w:bCs/>
      <w:sz w:val="40"/>
      <w:szCs w:val="32"/>
    </w:rPr>
  </w:style>
  <w:style w:type="character" w:customStyle="1" w:styleId="ad">
    <w:name w:val="הנגשה כותרת משנה תו"/>
    <w:basedOn w:val="a0"/>
    <w:link w:val="ac"/>
    <w:rsid w:val="00EB34BE"/>
    <w:rPr>
      <w:rFonts w:ascii="Tahoma" w:hAnsi="Tahoma" w:cstheme="minorBidi"/>
      <w:b/>
      <w:bCs/>
      <w:sz w:val="40"/>
      <w:szCs w:val="32"/>
    </w:rPr>
  </w:style>
  <w:style w:type="paragraph" w:styleId="ae">
    <w:name w:val="List Paragraph"/>
    <w:basedOn w:val="a"/>
    <w:link w:val="af"/>
    <w:uiPriority w:val="34"/>
    <w:qFormat/>
    <w:rsid w:val="00EB34BE"/>
    <w:pPr>
      <w:ind w:left="720"/>
      <w:contextualSpacing/>
    </w:pPr>
  </w:style>
  <w:style w:type="character" w:customStyle="1" w:styleId="af">
    <w:name w:val="פיסקת רשימה תו"/>
    <w:basedOn w:val="a0"/>
    <w:link w:val="ae"/>
    <w:uiPriority w:val="34"/>
    <w:locked/>
    <w:rsid w:val="000D7A04"/>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216752">
      <w:bodyDiv w:val="1"/>
      <w:marLeft w:val="0"/>
      <w:marRight w:val="0"/>
      <w:marTop w:val="0"/>
      <w:marBottom w:val="0"/>
      <w:divBdr>
        <w:top w:val="none" w:sz="0" w:space="0" w:color="auto"/>
        <w:left w:val="none" w:sz="0" w:space="0" w:color="auto"/>
        <w:bottom w:val="none" w:sz="0" w:space="0" w:color="auto"/>
        <w:right w:val="none" w:sz="0" w:space="0" w:color="auto"/>
      </w:divBdr>
    </w:div>
    <w:div w:id="1468819391">
      <w:bodyDiv w:val="1"/>
      <w:marLeft w:val="0"/>
      <w:marRight w:val="0"/>
      <w:marTop w:val="0"/>
      <w:marBottom w:val="0"/>
      <w:divBdr>
        <w:top w:val="none" w:sz="0" w:space="0" w:color="auto"/>
        <w:left w:val="none" w:sz="0" w:space="0" w:color="auto"/>
        <w:bottom w:val="none" w:sz="0" w:space="0" w:color="auto"/>
        <w:right w:val="none" w:sz="0" w:space="0" w:color="auto"/>
      </w:divBdr>
    </w:div>
    <w:div w:id="1508592579">
      <w:bodyDiv w:val="1"/>
      <w:marLeft w:val="0"/>
      <w:marRight w:val="0"/>
      <w:marTop w:val="0"/>
      <w:marBottom w:val="0"/>
      <w:divBdr>
        <w:top w:val="none" w:sz="0" w:space="0" w:color="auto"/>
        <w:left w:val="none" w:sz="0" w:space="0" w:color="auto"/>
        <w:bottom w:val="none" w:sz="0" w:space="0" w:color="auto"/>
        <w:right w:val="none" w:sz="0" w:space="0" w:color="auto"/>
      </w:divBdr>
    </w:div>
    <w:div w:id="1706708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חת_303_2018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02 באוקטובר 2018</DocumentCreateDateEnglish>
    <DocumentCreateDateHebrew xmlns="8f5b83e0-a1d3-486c-bd07-833a425c74af">כ"ג בתשרי התשע"ט</DocumentCreateDateHebrew>
    <SubjectDocument xmlns="8f5b83e0-a1d3-486c-bd07-833a425c74af">שאלות הבהרה 95/2018</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02/10/2018 12:14;40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303</CounterString>
    <LastLockUser xmlns="8f5b83e0-a1d3-486c-bd07-833a425c74af" xsi:nil="true"/>
    <LastCheckOutDate xmlns="8f5b83e0-a1d3-486c-bd07-833a425c74af">02/10/2018 12:14;50</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2018-10-02T00:00:00+00:00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dcmitype/"/>
    <ds:schemaRef ds:uri="http://purl.org/dc/elements/1.1/"/>
    <ds:schemaRef ds:uri="http://purl.org/dc/terms/"/>
    <ds:schemaRef ds:uri="http://schemas.microsoft.com/office/2006/documentManagement/typ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BB42629C-EEB5-44F6-8C4B-FB09C91F2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1352</Words>
  <Characters>6765</Characters>
  <Application>Microsoft Office Word</Application>
  <DocSecurity>0</DocSecurity>
  <Lines>56</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8101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2018-10-09T06:27:00Z</cp:lastPrinted>
  <dcterms:created xsi:type="dcterms:W3CDTF">2018-10-29T07:31:00Z</dcterms:created>
  <dcterms:modified xsi:type="dcterms:W3CDTF">2018-10-29T07:31:00Z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HT_303_2018</vt:lpwstr>
  </property>
</Properties>
</file>